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8678A3">
      <w:pPr>
        <w:spacing w:after="200" w:line="276" w:lineRule="auto"/>
        <w:rPr>
          <w:sz w:val="26"/>
          <w:szCs w:val="26"/>
        </w:rPr>
      </w:pPr>
      <w:r>
        <w:rPr>
          <w:noProof/>
        </w:rPr>
        <w:drawing>
          <wp:inline distT="0" distB="0" distL="0" distR="0" wp14:anchorId="2C386669" wp14:editId="0ABD9095">
            <wp:extent cx="5524500" cy="794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6"/>
          <w:szCs w:val="26"/>
        </w:rPr>
        <w:br w:type="page"/>
      </w:r>
    </w:p>
    <w:p w:rsidR="004170F9" w:rsidRDefault="004170F9" w:rsidP="004170F9">
      <w:pPr>
        <w:rPr>
          <w:sz w:val="26"/>
          <w:szCs w:val="26"/>
        </w:rPr>
      </w:pPr>
    </w:p>
    <w:p w:rsidR="004170F9" w:rsidRDefault="004170F9" w:rsidP="004170F9">
      <w:pPr>
        <w:jc w:val="center"/>
        <w:rPr>
          <w:b/>
          <w:bCs/>
        </w:rPr>
      </w:pPr>
      <w:r w:rsidRPr="000211BC">
        <w:rPr>
          <w:b/>
          <w:bCs/>
        </w:rPr>
        <w:t xml:space="preserve">ИЗВЕЩЕНИЕ </w:t>
      </w:r>
    </w:p>
    <w:p w:rsidR="004170F9" w:rsidRPr="001443AA" w:rsidRDefault="004170F9" w:rsidP="004170F9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Pr="001443AA">
        <w:rPr>
          <w:b/>
          <w:bCs/>
        </w:rPr>
        <w:t xml:space="preserve">проведении </w:t>
      </w:r>
      <w:r w:rsidRPr="001443AA">
        <w:rPr>
          <w:b/>
        </w:rPr>
        <w:t xml:space="preserve">запроса котировок на право заключения договора осуществления предпринимательской деятельности по размещению </w:t>
      </w:r>
      <w:proofErr w:type="spellStart"/>
      <w:r w:rsidRPr="001443AA">
        <w:rPr>
          <w:b/>
        </w:rPr>
        <w:t>вендинговых</w:t>
      </w:r>
      <w:proofErr w:type="spellEnd"/>
      <w:r w:rsidRPr="001443AA">
        <w:rPr>
          <w:b/>
        </w:rPr>
        <w:t xml:space="preserve"> автоматов по адресу: г. Красноярск, ул. </w:t>
      </w:r>
      <w:proofErr w:type="gramStart"/>
      <w:r w:rsidRPr="001443AA">
        <w:rPr>
          <w:b/>
        </w:rPr>
        <w:t>Свердловская</w:t>
      </w:r>
      <w:proofErr w:type="gramEnd"/>
      <w:r w:rsidRPr="001443AA">
        <w:rPr>
          <w:b/>
        </w:rPr>
        <w:t>, 293</w:t>
      </w:r>
    </w:p>
    <w:p w:rsidR="004170F9" w:rsidRDefault="004170F9" w:rsidP="004170F9">
      <w:pPr>
        <w:jc w:val="center"/>
        <w:rPr>
          <w:b/>
          <w:bCs/>
        </w:rPr>
      </w:pPr>
    </w:p>
    <w:p w:rsidR="004170F9" w:rsidRDefault="004170F9" w:rsidP="004170F9">
      <w:pPr>
        <w:jc w:val="center"/>
        <w:rPr>
          <w:b/>
          <w:bCs/>
        </w:rPr>
      </w:pPr>
      <w:r>
        <w:rPr>
          <w:b/>
          <w:bCs/>
        </w:rPr>
        <w:t xml:space="preserve">РАЗДЕЛ 1 </w:t>
      </w:r>
    </w:p>
    <w:p w:rsidR="004170F9" w:rsidRDefault="004170F9" w:rsidP="004170F9">
      <w:pPr>
        <w:jc w:val="center"/>
        <w:rPr>
          <w:b/>
          <w:bCs/>
        </w:rPr>
      </w:pPr>
      <w:r>
        <w:rPr>
          <w:b/>
          <w:bCs/>
        </w:rPr>
        <w:t>ИНФОРМАЦИОННАЯ КАРТА</w:t>
      </w:r>
    </w:p>
    <w:tbl>
      <w:tblPr>
        <w:tblW w:w="105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431"/>
      </w:tblGrid>
      <w:tr w:rsidR="004170F9" w:rsidRPr="00F30E0B" w:rsidTr="009876BF">
        <w:tc>
          <w:tcPr>
            <w:tcW w:w="851" w:type="dxa"/>
            <w:shd w:val="clear" w:color="auto" w:fill="auto"/>
            <w:vAlign w:val="center"/>
          </w:tcPr>
          <w:p w:rsidR="004170F9" w:rsidRPr="00E03969" w:rsidRDefault="004170F9" w:rsidP="009876BF">
            <w:pPr>
              <w:tabs>
                <w:tab w:val="left" w:pos="1593"/>
              </w:tabs>
              <w:jc w:val="center"/>
              <w:rPr>
                <w:b/>
                <w:bCs/>
              </w:rPr>
            </w:pPr>
            <w:r w:rsidRPr="00E03969">
              <w:rPr>
                <w:b/>
                <w:bCs/>
              </w:rPr>
              <w:t>№ п.</w:t>
            </w:r>
          </w:p>
        </w:tc>
        <w:tc>
          <w:tcPr>
            <w:tcW w:w="2268" w:type="dxa"/>
            <w:shd w:val="clear" w:color="auto" w:fill="auto"/>
          </w:tcPr>
          <w:p w:rsidR="004170F9" w:rsidRPr="00F30E0B" w:rsidRDefault="004170F9" w:rsidP="009876BF">
            <w:pPr>
              <w:jc w:val="center"/>
            </w:pPr>
            <w:r w:rsidRPr="00E03969">
              <w:rPr>
                <w:b/>
                <w:bCs/>
              </w:rPr>
              <w:t>Сведения</w:t>
            </w:r>
          </w:p>
        </w:tc>
        <w:tc>
          <w:tcPr>
            <w:tcW w:w="7431" w:type="dxa"/>
            <w:shd w:val="clear" w:color="auto" w:fill="auto"/>
          </w:tcPr>
          <w:p w:rsidR="004170F9" w:rsidRPr="00F30E0B" w:rsidRDefault="004170F9" w:rsidP="009876BF">
            <w:pPr>
              <w:jc w:val="center"/>
            </w:pPr>
            <w:r w:rsidRPr="00E03969">
              <w:rPr>
                <w:b/>
                <w:bCs/>
              </w:rPr>
              <w:t>Описание</w:t>
            </w:r>
          </w:p>
        </w:tc>
      </w:tr>
      <w:tr w:rsidR="004170F9" w:rsidRPr="00F30E0B" w:rsidTr="009876BF">
        <w:trPr>
          <w:trHeight w:val="14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0"/>
                <w:numId w:val="1"/>
              </w:numPr>
              <w:tabs>
                <w:tab w:val="left" w:pos="1593"/>
              </w:tabs>
              <w:ind w:left="0" w:firstLine="0"/>
              <w:jc w:val="center"/>
            </w:pPr>
          </w:p>
        </w:tc>
        <w:tc>
          <w:tcPr>
            <w:tcW w:w="96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center"/>
            </w:pPr>
            <w:r w:rsidRPr="00E03969">
              <w:rPr>
                <w:b/>
              </w:rPr>
              <w:t>Сведения об организаторе торгов</w:t>
            </w:r>
          </w:p>
        </w:tc>
      </w:tr>
      <w:tr w:rsidR="004170F9" w:rsidRPr="00F30E0B" w:rsidTr="009876BF">
        <w:trPr>
          <w:trHeight w:val="9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  <w:p w:rsidR="004170F9" w:rsidRPr="00F30E0B" w:rsidRDefault="004170F9" w:rsidP="009876BF">
            <w:pPr>
              <w:tabs>
                <w:tab w:val="left" w:pos="1593"/>
              </w:tabs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Наименование учреждения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 xml:space="preserve">Муниципальное автономное учреждение «Красноярский парк флоры и фауны «Роев ручей», ОГРН 1022402301558, ИНН 2464033183, КПП 246401001 (далее - Заказчик, Учреждение, </w:t>
            </w:r>
            <w:r w:rsidRPr="00E03969">
              <w:rPr>
                <w:bCs/>
                <w:kern w:val="32"/>
              </w:rPr>
              <w:t>МАУ «Парк «Роев ручей»</w:t>
            </w:r>
            <w:r w:rsidRPr="00F30E0B">
              <w:t>).</w:t>
            </w:r>
          </w:p>
        </w:tc>
      </w:tr>
      <w:tr w:rsidR="004170F9" w:rsidRPr="00F30E0B" w:rsidTr="009876BF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Место нахождения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 xml:space="preserve">660006, г. Красноярск, ул. </w:t>
            </w:r>
            <w:proofErr w:type="gramStart"/>
            <w:r w:rsidRPr="00F30E0B">
              <w:t>Свердловская</w:t>
            </w:r>
            <w:proofErr w:type="gramEnd"/>
            <w:r w:rsidRPr="00F30E0B">
              <w:t>, зд. 293.</w:t>
            </w:r>
          </w:p>
        </w:tc>
      </w:tr>
      <w:tr w:rsidR="004170F9" w:rsidRPr="00F30E0B" w:rsidTr="009876BF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Почтовый адрес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 xml:space="preserve">660006, г. Красноярск, ул. </w:t>
            </w:r>
            <w:proofErr w:type="gramStart"/>
            <w:r w:rsidRPr="00F30E0B">
              <w:t>Свердловская</w:t>
            </w:r>
            <w:proofErr w:type="gramEnd"/>
            <w:r w:rsidRPr="00F30E0B">
              <w:t>, зд. 293.</w:t>
            </w:r>
          </w:p>
        </w:tc>
      </w:tr>
      <w:tr w:rsidR="004170F9" w:rsidRPr="00F30E0B" w:rsidTr="009876BF">
        <w:trPr>
          <w:trHeight w:val="3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 xml:space="preserve">Адрес электронной почты 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8678A3" w:rsidP="009876BF">
            <w:pPr>
              <w:jc w:val="both"/>
            </w:pPr>
            <w:hyperlink r:id="rId7" w:history="1">
              <w:r w:rsidR="004170F9" w:rsidRPr="00E03969">
                <w:rPr>
                  <w:rStyle w:val="a4"/>
                  <w:lang w:val="en-US"/>
                </w:rPr>
                <w:t>roev</w:t>
              </w:r>
              <w:r w:rsidR="004170F9" w:rsidRPr="00F30E0B">
                <w:rPr>
                  <w:rStyle w:val="a4"/>
                </w:rPr>
                <w:t>@</w:t>
              </w:r>
              <w:r w:rsidR="004170F9" w:rsidRPr="00E03969">
                <w:rPr>
                  <w:rStyle w:val="a4"/>
                  <w:lang w:val="en-US"/>
                </w:rPr>
                <w:t>mailkrsk</w:t>
              </w:r>
              <w:r w:rsidR="004170F9" w:rsidRPr="00F30E0B">
                <w:rPr>
                  <w:rStyle w:val="a4"/>
                </w:rPr>
                <w:t>.</w:t>
              </w:r>
              <w:r w:rsidR="004170F9" w:rsidRPr="00E03969">
                <w:rPr>
                  <w:rStyle w:val="a4"/>
                  <w:lang w:val="en-US"/>
                </w:rPr>
                <w:t>ru</w:t>
              </w:r>
            </w:hyperlink>
            <w:r w:rsidR="004170F9" w:rsidRPr="00F30E0B">
              <w:rPr>
                <w:rStyle w:val="a4"/>
              </w:rPr>
              <w:t xml:space="preserve">, </w:t>
            </w:r>
            <w:hyperlink r:id="rId8" w:history="1">
              <w:r w:rsidR="004170F9" w:rsidRPr="00F30E0B">
                <w:rPr>
                  <w:rStyle w:val="a4"/>
                </w:rPr>
                <w:t>baranova@roev.ru</w:t>
              </w:r>
            </w:hyperlink>
          </w:p>
        </w:tc>
      </w:tr>
      <w:tr w:rsidR="004170F9" w:rsidRPr="00F30E0B" w:rsidTr="009876BF">
        <w:trPr>
          <w:trHeight w:val="5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Контактный телефон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 xml:space="preserve">8(391) 269-80-80 </w:t>
            </w:r>
          </w:p>
          <w:p w:rsidR="004170F9" w:rsidRPr="00F30E0B" w:rsidRDefault="004170F9" w:rsidP="009876BF">
            <w:pPr>
              <w:jc w:val="both"/>
            </w:pPr>
            <w:r w:rsidRPr="00F30E0B">
              <w:t>8(391) 269-80-80 (</w:t>
            </w:r>
            <w:proofErr w:type="spellStart"/>
            <w:r w:rsidRPr="00F30E0B">
              <w:t>доб</w:t>
            </w:r>
            <w:proofErr w:type="spellEnd"/>
            <w:r w:rsidRPr="00F30E0B">
              <w:t xml:space="preserve"> 556)</w:t>
            </w:r>
          </w:p>
        </w:tc>
      </w:tr>
      <w:tr w:rsidR="004170F9" w:rsidRPr="00F30E0B" w:rsidTr="009876BF">
        <w:trPr>
          <w:trHeight w:val="3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0"/>
                <w:numId w:val="1"/>
              </w:numPr>
              <w:tabs>
                <w:tab w:val="left" w:pos="1593"/>
              </w:tabs>
              <w:ind w:left="0" w:firstLine="0"/>
              <w:jc w:val="center"/>
            </w:pPr>
          </w:p>
        </w:tc>
        <w:tc>
          <w:tcPr>
            <w:tcW w:w="9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center"/>
            </w:pPr>
            <w:r w:rsidRPr="00E03969">
              <w:rPr>
                <w:b/>
              </w:rPr>
              <w:t>Сведения о предмете договора и его условиях</w:t>
            </w:r>
          </w:p>
        </w:tc>
      </w:tr>
      <w:tr w:rsidR="004170F9" w:rsidRPr="00F30E0B" w:rsidTr="009876BF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shd w:val="clear" w:color="auto" w:fill="auto"/>
          </w:tcPr>
          <w:p w:rsidR="004170F9" w:rsidRPr="00F30E0B" w:rsidRDefault="004170F9" w:rsidP="009876BF">
            <w:r w:rsidRPr="00E03969">
              <w:rPr>
                <w:bCs/>
                <w:lang w:bidi="ru-RU"/>
              </w:rPr>
              <w:t>Предмет договора</w:t>
            </w:r>
          </w:p>
        </w:tc>
        <w:tc>
          <w:tcPr>
            <w:tcW w:w="7431" w:type="dxa"/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 xml:space="preserve">Предмет договора: </w:t>
            </w:r>
            <w:r w:rsidRPr="000D3820">
              <w:t xml:space="preserve">право заключения договора </w:t>
            </w:r>
            <w:r>
              <w:t>о предоставлении возможности осуществления предпринимательской деятельности</w:t>
            </w:r>
            <w:r w:rsidRPr="000D3820">
              <w:t xml:space="preserve"> </w:t>
            </w:r>
            <w:r w:rsidRPr="00B37729">
              <w:t xml:space="preserve">по размещению </w:t>
            </w:r>
            <w:proofErr w:type="spellStart"/>
            <w:r w:rsidRPr="00B37729">
              <w:t>вендинговых</w:t>
            </w:r>
            <w:proofErr w:type="spellEnd"/>
            <w:r w:rsidRPr="00B37729">
              <w:t xml:space="preserve"> автоматов по адресу: г. Красноярск, ул.</w:t>
            </w:r>
            <w:r>
              <w:t> </w:t>
            </w:r>
            <w:proofErr w:type="gramStart"/>
            <w:r w:rsidRPr="00B37729">
              <w:t>Свердловская</w:t>
            </w:r>
            <w:proofErr w:type="gramEnd"/>
            <w:r w:rsidRPr="00B37729">
              <w:t>, 293</w:t>
            </w:r>
            <w:r>
              <w:t>.</w:t>
            </w:r>
          </w:p>
          <w:p w:rsidR="004170F9" w:rsidRPr="00F30E0B" w:rsidRDefault="004170F9" w:rsidP="009876BF">
            <w:pPr>
              <w:jc w:val="both"/>
            </w:pPr>
            <w:r w:rsidRPr="00F30E0B">
              <w:t xml:space="preserve">Описание лота: согласно разделу № 2 Извещения </w:t>
            </w:r>
          </w:p>
        </w:tc>
      </w:tr>
      <w:tr w:rsidR="004170F9" w:rsidRPr="00F30E0B" w:rsidTr="009876BF">
        <w:trPr>
          <w:trHeight w:val="82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E03969">
              <w:rPr>
                <w:bCs/>
                <w:lang w:bidi="ru-RU"/>
              </w:rPr>
              <w:t>Начальная (минимальная) цена договора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jc w:val="both"/>
              <w:rPr>
                <w:color w:val="0F1115"/>
              </w:rPr>
            </w:pPr>
            <w:r>
              <w:rPr>
                <w:color w:val="0F1115"/>
              </w:rPr>
              <w:t>260</w:t>
            </w:r>
            <w:r w:rsidRPr="000D3820">
              <w:rPr>
                <w:color w:val="0F1115"/>
              </w:rPr>
              <w:t xml:space="preserve"> </w:t>
            </w:r>
            <w:r>
              <w:rPr>
                <w:color w:val="0F1115"/>
              </w:rPr>
              <w:t>358</w:t>
            </w:r>
            <w:r w:rsidRPr="000D3820">
              <w:rPr>
                <w:color w:val="0F1115"/>
              </w:rPr>
              <w:t xml:space="preserve"> (</w:t>
            </w:r>
            <w:r>
              <w:rPr>
                <w:color w:val="0F1115"/>
              </w:rPr>
              <w:t>двести шестьдесят тысяч триста пятьдесят восемь</w:t>
            </w:r>
            <w:r w:rsidRPr="000D3820">
              <w:rPr>
                <w:color w:val="0F1115"/>
              </w:rPr>
              <w:t>)</w:t>
            </w:r>
            <w:r>
              <w:rPr>
                <w:color w:val="0F1115"/>
              </w:rPr>
              <w:t xml:space="preserve"> </w:t>
            </w:r>
            <w:r w:rsidRPr="00E03969">
              <w:rPr>
                <w:color w:val="0F1115"/>
              </w:rPr>
              <w:t>рублей 00 копеек, с НДС 22%.</w:t>
            </w:r>
          </w:p>
          <w:p w:rsidR="004170F9" w:rsidRPr="00F30E0B" w:rsidRDefault="004170F9" w:rsidP="009876BF">
            <w:pPr>
              <w:jc w:val="both"/>
            </w:pPr>
          </w:p>
        </w:tc>
      </w:tr>
      <w:tr w:rsidR="004170F9" w:rsidRPr="00F30E0B" w:rsidTr="009876BF">
        <w:trPr>
          <w:trHeight w:val="111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rPr>
                <w:bCs/>
                <w:lang w:bidi="ru-RU"/>
              </w:rPr>
            </w:pPr>
            <w:r w:rsidRPr="00F30E0B">
              <w:t>Порядок формирования минимальной цены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 xml:space="preserve"> Отчет № 651/04 от 30.04.2026 по определению рыночной стоимости платы за объекты оценки с целью заключения договора</w:t>
            </w:r>
            <w:r>
              <w:t>.</w:t>
            </w:r>
            <w:r w:rsidRPr="00F30E0B">
              <w:t xml:space="preserve"> </w:t>
            </w:r>
          </w:p>
          <w:p w:rsidR="004170F9" w:rsidRPr="00E03969" w:rsidRDefault="004170F9" w:rsidP="009876BF">
            <w:pPr>
              <w:jc w:val="both"/>
              <w:rPr>
                <w:color w:val="0F1115"/>
              </w:rPr>
            </w:pPr>
          </w:p>
        </w:tc>
      </w:tr>
      <w:tr w:rsidR="004170F9" w:rsidRPr="00F30E0B" w:rsidTr="009876BF">
        <w:trPr>
          <w:trHeight w:val="81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Срок, на который заключается договор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jc w:val="both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7</w:t>
            </w:r>
            <w:r w:rsidRPr="00E03969">
              <w:rPr>
                <w:bCs/>
                <w:lang w:bidi="ru-RU"/>
              </w:rPr>
              <w:t xml:space="preserve"> (</w:t>
            </w:r>
            <w:r>
              <w:rPr>
                <w:bCs/>
                <w:lang w:bidi="ru-RU"/>
              </w:rPr>
              <w:t>семь</w:t>
            </w:r>
            <w:r w:rsidRPr="00E03969">
              <w:rPr>
                <w:bCs/>
                <w:lang w:bidi="ru-RU"/>
              </w:rPr>
              <w:t xml:space="preserve">) </w:t>
            </w:r>
            <w:r>
              <w:rPr>
                <w:bCs/>
                <w:lang w:bidi="ru-RU"/>
              </w:rPr>
              <w:t>месяцев</w:t>
            </w:r>
            <w:r w:rsidRPr="00E03969">
              <w:rPr>
                <w:bCs/>
                <w:lang w:bidi="ru-RU"/>
              </w:rPr>
              <w:t xml:space="preserve"> с момента подписания договора.</w:t>
            </w:r>
          </w:p>
          <w:p w:rsidR="004170F9" w:rsidRPr="00F30E0B" w:rsidRDefault="004170F9" w:rsidP="009876BF">
            <w:pPr>
              <w:jc w:val="both"/>
            </w:pPr>
          </w:p>
          <w:p w:rsidR="004170F9" w:rsidRPr="00F30E0B" w:rsidRDefault="004170F9" w:rsidP="009876BF">
            <w:pPr>
              <w:jc w:val="both"/>
            </w:pPr>
          </w:p>
        </w:tc>
      </w:tr>
      <w:tr w:rsidR="004170F9" w:rsidRPr="00F30E0B" w:rsidTr="009876BF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pStyle w:val="a3"/>
              <w:spacing w:before="0" w:beforeAutospacing="0" w:after="0" w:afterAutospacing="0"/>
            </w:pPr>
            <w:r w:rsidRPr="00F30E0B">
              <w:t>Сроки и порядок оплаты по договору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jc w:val="both"/>
              <w:rPr>
                <w:bCs/>
                <w:lang w:bidi="ru-RU"/>
              </w:rPr>
            </w:pPr>
            <w:r w:rsidRPr="00F30E0B">
              <w:t xml:space="preserve">Содержатся в Разделе 4 Извещения </w:t>
            </w:r>
            <w:r w:rsidRPr="00E03969">
              <w:rPr>
                <w:bCs/>
                <w:kern w:val="32"/>
              </w:rPr>
              <w:t>(проект договора)</w:t>
            </w:r>
          </w:p>
        </w:tc>
      </w:tr>
      <w:tr w:rsidR="004170F9" w:rsidRPr="00F30E0B" w:rsidTr="009876BF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Условия Договора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>Содержатся в Разделе 4 Извещения.</w:t>
            </w:r>
          </w:p>
        </w:tc>
      </w:tr>
      <w:tr w:rsidR="004170F9" w:rsidRPr="00F30E0B" w:rsidTr="009876BF">
        <w:trPr>
          <w:trHeight w:val="2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rPr>
                <w:bCs/>
                <w:lang w:bidi="ru-RU"/>
              </w:rPr>
            </w:pPr>
            <w:r w:rsidRPr="00E03969">
              <w:rPr>
                <w:bCs/>
                <w:lang w:bidi="ru-RU"/>
              </w:rPr>
              <w:t>Срок, в течение которого должен быть подписан проект договора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jc w:val="both"/>
              <w:rPr>
                <w:bCs/>
                <w:lang w:bidi="ru-RU"/>
              </w:rPr>
            </w:pPr>
            <w:r>
              <w:t>Победитель запроса котировок и директор Учреждения (или их уполномоченные представители) подписывают в день проведения запроса котировок протокол о результатах запроса котировок, который имеет силу договора.</w:t>
            </w:r>
          </w:p>
        </w:tc>
      </w:tr>
      <w:tr w:rsidR="004170F9" w:rsidRPr="00F30E0B" w:rsidTr="009876B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0"/>
                <w:numId w:val="1"/>
              </w:numPr>
              <w:tabs>
                <w:tab w:val="left" w:pos="1593"/>
              </w:tabs>
              <w:ind w:left="0" w:firstLine="0"/>
              <w:jc w:val="center"/>
            </w:pPr>
          </w:p>
        </w:tc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center"/>
            </w:pPr>
            <w:r w:rsidRPr="00E03969">
              <w:rPr>
                <w:b/>
              </w:rPr>
              <w:t>Сведения о закупке</w:t>
            </w:r>
          </w:p>
        </w:tc>
      </w:tr>
      <w:tr w:rsidR="004170F9" w:rsidRPr="00F30E0B" w:rsidTr="009876BF">
        <w:trPr>
          <w:trHeight w:val="6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Способ проведения процедуры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>
              <w:t>Запрос котировок</w:t>
            </w:r>
          </w:p>
        </w:tc>
      </w:tr>
      <w:tr w:rsidR="004170F9" w:rsidRPr="00F30E0B" w:rsidTr="009876BF">
        <w:trPr>
          <w:trHeight w:val="21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70F9" w:rsidRPr="00F30E0B" w:rsidRDefault="004170F9" w:rsidP="009876BF">
            <w:r w:rsidRPr="00F30E0B">
              <w:t>Порядок размещения извещения о закупке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 w:rsidRPr="00F30E0B">
              <w:t xml:space="preserve">На официальном </w:t>
            </w:r>
            <w:r w:rsidRPr="00E03969">
              <w:rPr>
                <w:color w:val="0F1115"/>
              </w:rPr>
              <w:t>сайте МАУ «Парк «Роев ручей» www.roev.ru;</w:t>
            </w:r>
          </w:p>
          <w:p w:rsidR="004170F9" w:rsidRPr="00F30E0B" w:rsidRDefault="004170F9" w:rsidP="009876BF">
            <w:pPr>
              <w:contextualSpacing/>
              <w:jc w:val="both"/>
            </w:pPr>
          </w:p>
        </w:tc>
      </w:tr>
      <w:tr w:rsidR="004170F9" w:rsidRPr="00F30E0B" w:rsidTr="009876BF">
        <w:trPr>
          <w:trHeight w:val="33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Порядок, место, дата и время предоставления документации о процедуре, электронный адрес страницы на сайте, на котором размещена документация о процедуре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Default="008678A3" w:rsidP="009876BF">
            <w:pPr>
              <w:jc w:val="both"/>
              <w:rPr>
                <w:color w:val="0F1115"/>
              </w:rPr>
            </w:pPr>
            <w:hyperlink r:id="rId9" w:history="1">
              <w:r w:rsidR="004170F9" w:rsidRPr="00EF42C6">
                <w:rPr>
                  <w:rStyle w:val="a4"/>
                </w:rPr>
                <w:t>www.roev.ru</w:t>
              </w:r>
            </w:hyperlink>
            <w:r w:rsidR="004170F9">
              <w:rPr>
                <w:color w:val="0F1115"/>
              </w:rPr>
              <w:t>,</w:t>
            </w:r>
          </w:p>
          <w:p w:rsidR="004170F9" w:rsidRPr="00E03969" w:rsidRDefault="004170F9" w:rsidP="009876BF">
            <w:pPr>
              <w:jc w:val="both"/>
              <w:rPr>
                <w:color w:val="0F1115"/>
              </w:rPr>
            </w:pPr>
            <w:r w:rsidRPr="00E03969">
              <w:rPr>
                <w:bCs/>
                <w:lang w:bidi="ru-RU"/>
              </w:rPr>
              <w:t xml:space="preserve"> с 09 ч. 00 мин. с «</w:t>
            </w:r>
            <w:r w:rsidR="008074EB">
              <w:rPr>
                <w:bCs/>
                <w:lang w:bidi="ru-RU"/>
              </w:rPr>
              <w:t>05</w:t>
            </w:r>
            <w:r w:rsidRPr="004170F9">
              <w:rPr>
                <w:bCs/>
                <w:lang w:bidi="ru-RU"/>
              </w:rPr>
              <w:t xml:space="preserve">» </w:t>
            </w:r>
            <w:r w:rsidR="008074EB">
              <w:rPr>
                <w:bCs/>
                <w:lang w:bidi="ru-RU"/>
              </w:rPr>
              <w:t>июня</w:t>
            </w:r>
            <w:r w:rsidRPr="004170F9">
              <w:rPr>
                <w:bCs/>
                <w:lang w:bidi="ru-RU"/>
              </w:rPr>
              <w:t xml:space="preserve"> 2026</w:t>
            </w:r>
            <w:r w:rsidRPr="00E03969">
              <w:rPr>
                <w:bCs/>
                <w:lang w:bidi="ru-RU"/>
              </w:rPr>
              <w:t xml:space="preserve"> г</w:t>
            </w:r>
            <w:r>
              <w:rPr>
                <w:bCs/>
                <w:lang w:bidi="ru-RU"/>
              </w:rPr>
              <w:t>.</w:t>
            </w:r>
            <w:r w:rsidRPr="00E03969">
              <w:rPr>
                <w:bCs/>
                <w:lang w:bidi="ru-RU"/>
              </w:rPr>
              <w:t xml:space="preserve"> </w:t>
            </w:r>
            <w:r w:rsidRPr="00F30E0B">
              <w:t>(по красноярско</w:t>
            </w:r>
            <w:r>
              <w:t xml:space="preserve">му времени) по </w:t>
            </w:r>
            <w:r w:rsidRPr="004170F9">
              <w:rPr>
                <w:bCs/>
                <w:lang w:bidi="ru-RU"/>
              </w:rPr>
              <w:t>10 ч. 00 мин</w:t>
            </w:r>
            <w:r>
              <w:t xml:space="preserve"> </w:t>
            </w:r>
            <w:r w:rsidR="008074EB">
              <w:t>19</w:t>
            </w:r>
            <w:r>
              <w:t xml:space="preserve"> июня 2026 г.</w:t>
            </w:r>
          </w:p>
          <w:p w:rsidR="004170F9" w:rsidRPr="00E03969" w:rsidRDefault="004170F9" w:rsidP="009876BF">
            <w:pPr>
              <w:jc w:val="both"/>
              <w:rPr>
                <w:color w:val="0F1115"/>
              </w:rPr>
            </w:pP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ind w:firstLine="540"/>
              <w:jc w:val="both"/>
            </w:pPr>
          </w:p>
        </w:tc>
      </w:tr>
      <w:tr w:rsidR="004170F9" w:rsidRPr="00F30E0B" w:rsidTr="009876BF">
        <w:trPr>
          <w:trHeight w:val="16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 xml:space="preserve">Место, дата и время начала и окончания срока подачи заявок и участие в процедуре. 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ind w:firstLine="176"/>
              <w:jc w:val="both"/>
              <w:rPr>
                <w:bCs/>
                <w:lang w:bidi="ru-RU"/>
              </w:rPr>
            </w:pPr>
            <w:r w:rsidRPr="00E03969">
              <w:rPr>
                <w:bCs/>
                <w:lang w:bidi="ru-RU"/>
              </w:rPr>
              <w:t xml:space="preserve">с 09 ч. 00 мин. с </w:t>
            </w:r>
            <w:r w:rsidRPr="004170F9">
              <w:rPr>
                <w:bCs/>
                <w:lang w:bidi="ru-RU"/>
              </w:rPr>
              <w:t>«</w:t>
            </w:r>
            <w:r w:rsidR="008074EB">
              <w:rPr>
                <w:bCs/>
                <w:lang w:bidi="ru-RU"/>
              </w:rPr>
              <w:t>12</w:t>
            </w:r>
            <w:r w:rsidRPr="004170F9">
              <w:rPr>
                <w:bCs/>
                <w:lang w:bidi="ru-RU"/>
              </w:rPr>
              <w:t xml:space="preserve"> июня 2026 г. по 10 ч. 00 мин. «1</w:t>
            </w:r>
            <w:r w:rsidR="008074EB">
              <w:rPr>
                <w:bCs/>
                <w:lang w:bidi="ru-RU"/>
              </w:rPr>
              <w:t>9</w:t>
            </w:r>
            <w:r w:rsidRPr="004170F9">
              <w:rPr>
                <w:bCs/>
                <w:lang w:bidi="ru-RU"/>
              </w:rPr>
              <w:t>» июня 2026</w:t>
            </w:r>
            <w:r w:rsidRPr="00E03969">
              <w:rPr>
                <w:bCs/>
                <w:lang w:bidi="ru-RU"/>
              </w:rPr>
              <w:t xml:space="preserve"> г. (по красноярскому времени).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 xml:space="preserve">Прием Заявок на участие в </w:t>
            </w:r>
            <w:r>
              <w:t>торгах</w:t>
            </w:r>
            <w:r w:rsidRPr="00C63D12">
              <w:t xml:space="preserve"> по адресу:</w:t>
            </w:r>
            <w:r w:rsidRPr="00C63D12">
              <w:rPr>
                <w:color w:val="000000"/>
              </w:rPr>
              <w:t xml:space="preserve"> </w:t>
            </w:r>
            <w:r w:rsidRPr="00C63D12">
              <w:t>6600</w:t>
            </w:r>
            <w:r>
              <w:t>06</w:t>
            </w:r>
            <w:r w:rsidRPr="00C63D12">
              <w:t xml:space="preserve">, г. Красноярск, ул. </w:t>
            </w:r>
            <w:proofErr w:type="gramStart"/>
            <w:r w:rsidRPr="00C63D12">
              <w:t>Свердловская</w:t>
            </w:r>
            <w:proofErr w:type="gramEnd"/>
            <w:r w:rsidRPr="00C63D12">
              <w:t xml:space="preserve">, </w:t>
            </w:r>
            <w:r>
              <w:t>зд</w:t>
            </w:r>
            <w:r w:rsidRPr="00C63D12">
              <w:t xml:space="preserve">. 293, </w:t>
            </w:r>
            <w:proofErr w:type="spellStart"/>
            <w:r w:rsidRPr="00C63D12">
              <w:t>каб</w:t>
            </w:r>
            <w:proofErr w:type="spellEnd"/>
            <w:r w:rsidRPr="00C63D12">
              <w:t>. 101.</w:t>
            </w: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>
              <w:t>Заявки предоставляются в запечатанном конверте без указания на нем сведений об участнике.</w:t>
            </w:r>
          </w:p>
        </w:tc>
      </w:tr>
      <w:tr w:rsidR="004170F9" w:rsidRPr="00F30E0B" w:rsidTr="009876BF">
        <w:trPr>
          <w:trHeight w:val="30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contextualSpacing/>
            </w:pPr>
            <w:r w:rsidRPr="00F30E0B">
              <w:t>Место, дата и время начала рассмотрения заявок на участие в процедуре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</w:tcPr>
          <w:p w:rsidR="004170F9" w:rsidRDefault="004170F9" w:rsidP="009876BF">
            <w:pPr>
              <w:ind w:firstLine="176"/>
              <w:jc w:val="both"/>
            </w:pPr>
            <w:r w:rsidRPr="00C63D12">
              <w:t>6600</w:t>
            </w:r>
            <w:r>
              <w:t>06</w:t>
            </w:r>
            <w:r w:rsidRPr="00C63D12">
              <w:t xml:space="preserve">, г. Красноярск, ул. </w:t>
            </w:r>
            <w:proofErr w:type="gramStart"/>
            <w:r w:rsidRPr="00C63D12">
              <w:t>Свердловская</w:t>
            </w:r>
            <w:proofErr w:type="gramEnd"/>
            <w:r w:rsidRPr="00C63D12">
              <w:t>,</w:t>
            </w:r>
            <w:r>
              <w:t xml:space="preserve"> зд. 293</w:t>
            </w:r>
          </w:p>
          <w:p w:rsidR="004170F9" w:rsidRPr="00E03969" w:rsidRDefault="004170F9" w:rsidP="009876BF">
            <w:pPr>
              <w:ind w:firstLine="176"/>
              <w:jc w:val="both"/>
              <w:rPr>
                <w:bCs/>
                <w:lang w:bidi="ru-RU"/>
              </w:rPr>
            </w:pPr>
            <w:r w:rsidRPr="00E03969">
              <w:rPr>
                <w:bCs/>
                <w:lang w:bidi="ru-RU"/>
              </w:rPr>
              <w:t>с 10 ч. 00 мин. «</w:t>
            </w:r>
            <w:r w:rsidR="008074EB">
              <w:rPr>
                <w:bCs/>
                <w:lang w:bidi="ru-RU"/>
              </w:rPr>
              <w:t>19</w:t>
            </w:r>
            <w:r w:rsidRPr="00E03969">
              <w:rPr>
                <w:bCs/>
                <w:lang w:bidi="ru-RU"/>
              </w:rPr>
              <w:t>» июня 2026 г. (по красноярскому времени)</w:t>
            </w:r>
            <w:r>
              <w:rPr>
                <w:bCs/>
                <w:lang w:bidi="ru-RU"/>
              </w:rPr>
              <w:t>.</w:t>
            </w:r>
          </w:p>
          <w:p w:rsidR="004170F9" w:rsidRPr="00E03969" w:rsidRDefault="004170F9" w:rsidP="009876BF">
            <w:pPr>
              <w:ind w:firstLine="176"/>
              <w:jc w:val="both"/>
              <w:rPr>
                <w:bCs/>
                <w:lang w:bidi="ru-RU"/>
              </w:rPr>
            </w:pP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>
              <w:t xml:space="preserve"> </w:t>
            </w:r>
          </w:p>
        </w:tc>
      </w:tr>
      <w:tr w:rsidR="004170F9" w:rsidRPr="00F30E0B" w:rsidTr="009876BF">
        <w:tc>
          <w:tcPr>
            <w:tcW w:w="851" w:type="dxa"/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shd w:val="clear" w:color="auto" w:fill="auto"/>
          </w:tcPr>
          <w:p w:rsidR="004170F9" w:rsidRPr="00F30E0B" w:rsidRDefault="004170F9" w:rsidP="009876BF">
            <w:pPr>
              <w:contextualSpacing/>
            </w:pPr>
            <w:r w:rsidRPr="00F30E0B">
              <w:t xml:space="preserve">Порядок проведения </w:t>
            </w:r>
            <w:r>
              <w:t>процедуры</w:t>
            </w:r>
          </w:p>
        </w:tc>
        <w:tc>
          <w:tcPr>
            <w:tcW w:w="7431" w:type="dxa"/>
            <w:shd w:val="clear" w:color="auto" w:fill="auto"/>
          </w:tcPr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После окончания срока приема заявок комиссия по проведению </w:t>
            </w:r>
            <w:r>
              <w:t>конкурентной</w:t>
            </w:r>
            <w:r w:rsidRPr="00C63D12">
              <w:t xml:space="preserve"> процедуры рассматривает полученные от претендентов заявки и приложенные к ним документы на предмет соответствия требованиям, установленным документацией о проведении </w:t>
            </w:r>
            <w:r>
              <w:t>конкурентной</w:t>
            </w:r>
            <w:r w:rsidRPr="00C63D12">
              <w:t xml:space="preserve"> процедуры, и соответствия претендентов требованиям, установленным документаци</w:t>
            </w:r>
            <w:r>
              <w:t>ей</w:t>
            </w:r>
            <w:r w:rsidRPr="00C63D12">
              <w:t xml:space="preserve"> о проведении </w:t>
            </w:r>
            <w:r>
              <w:t>торгов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176"/>
              <w:jc w:val="both"/>
            </w:pPr>
            <w:proofErr w:type="gramStart"/>
            <w:r w:rsidRPr="00C63D12">
              <w:t xml:space="preserve">В случае установления факта подачи одним претендентом двух и более заявок на участие в </w:t>
            </w:r>
            <w:r>
              <w:t>торгах</w:t>
            </w:r>
            <w:r w:rsidRPr="00C63D12">
              <w:t xml:space="preserve"> в отношении одного и того же лота при условии, что поданные ранее заявки таким претендентом не отозваны, все заявки на участие в </w:t>
            </w:r>
            <w:r>
              <w:t>торгах</w:t>
            </w:r>
            <w:r w:rsidRPr="00C63D12">
              <w:t xml:space="preserve"> такого претендента, поданные в отношении данного лота, не рассматриваются и возвращаются такому претенденту.</w:t>
            </w:r>
            <w:proofErr w:type="gramEnd"/>
          </w:p>
          <w:p w:rsidR="004170F9" w:rsidRDefault="004170F9" w:rsidP="009876BF">
            <w:pPr>
              <w:ind w:firstLine="176"/>
              <w:jc w:val="both"/>
            </w:pPr>
            <w:r w:rsidRPr="00C63D12">
              <w:t xml:space="preserve">На основании результатов рассмотрения заявок на участие в </w:t>
            </w:r>
            <w:r>
              <w:t>торгах</w:t>
            </w:r>
            <w:r w:rsidRPr="00C63D12">
              <w:t xml:space="preserve"> комиссией по проведению </w:t>
            </w:r>
            <w:r>
              <w:t>конкурентной</w:t>
            </w:r>
            <w:r w:rsidRPr="00C63D12">
              <w:t xml:space="preserve"> процедуры принимается решение о допуске к участию в </w:t>
            </w:r>
            <w:r>
              <w:t>торгах</w:t>
            </w:r>
            <w:r w:rsidRPr="00C63D12">
              <w:t xml:space="preserve"> претендента и о признании претендента участником </w:t>
            </w:r>
            <w:r>
              <w:t>торгов</w:t>
            </w:r>
            <w:r w:rsidRPr="00C63D12">
              <w:t xml:space="preserve"> или </w:t>
            </w:r>
            <w:proofErr w:type="gramStart"/>
            <w:r w:rsidRPr="00C63D12">
              <w:t xml:space="preserve">об отказе в допуске такого претендента к участию в </w:t>
            </w:r>
            <w:r>
              <w:t>торгах</w:t>
            </w:r>
            <w:r w:rsidRPr="00C63D12">
              <w:t xml:space="preserve"> в порядке</w:t>
            </w:r>
            <w:proofErr w:type="gramEnd"/>
            <w:r w:rsidRPr="00C63D12">
              <w:t xml:space="preserve"> и по основаниям, предусмотренным документаци</w:t>
            </w:r>
            <w:r>
              <w:t>ей</w:t>
            </w:r>
            <w:r w:rsidRPr="00C63D12">
              <w:t xml:space="preserve"> о проведении </w:t>
            </w:r>
            <w:r>
              <w:t>торгов</w:t>
            </w:r>
            <w:r w:rsidRPr="00C63D12">
              <w:t>.</w:t>
            </w:r>
          </w:p>
          <w:p w:rsidR="004170F9" w:rsidRPr="00F30E0B" w:rsidRDefault="004170F9" w:rsidP="009876BF">
            <w:pPr>
              <w:ind w:firstLine="176"/>
              <w:jc w:val="both"/>
            </w:pPr>
            <w:r w:rsidRPr="00C63D12">
              <w:t xml:space="preserve">Претенденты на участие в </w:t>
            </w:r>
            <w:r>
              <w:t>торгах</w:t>
            </w:r>
            <w:r w:rsidRPr="00C63D12">
              <w:t xml:space="preserve">, заявки которых не были отклонены комиссией по проведению </w:t>
            </w:r>
            <w:r>
              <w:t>конкурентной</w:t>
            </w:r>
            <w:r w:rsidRPr="00C63D12">
              <w:t xml:space="preserve"> процедуры, признаются участниками </w:t>
            </w:r>
            <w:r>
              <w:t>торгов</w:t>
            </w:r>
            <w:r w:rsidRPr="00C63D12">
              <w:t xml:space="preserve"> и допускаются к участию в</w:t>
            </w:r>
            <w:r>
              <w:t xml:space="preserve"> торгах</w:t>
            </w:r>
            <w:r w:rsidRPr="00C63D12">
              <w:t>.</w:t>
            </w:r>
          </w:p>
        </w:tc>
      </w:tr>
      <w:tr w:rsidR="004170F9" w:rsidRPr="00F30E0B" w:rsidTr="009876BF">
        <w:trPr>
          <w:trHeight w:val="222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contextualSpacing/>
            </w:pPr>
            <w:r w:rsidRPr="00F30E0B">
              <w:t>Место, дата и время начала проведения процедуры и определения победителя процедур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</w:tcPr>
          <w:p w:rsidR="004170F9" w:rsidRDefault="004170F9" w:rsidP="009876BF">
            <w:pPr>
              <w:ind w:firstLine="176"/>
              <w:jc w:val="both"/>
            </w:pPr>
            <w:r w:rsidRPr="00C63D12">
              <w:t>6600</w:t>
            </w:r>
            <w:r>
              <w:t>06</w:t>
            </w:r>
            <w:r w:rsidRPr="00C63D12">
              <w:t xml:space="preserve">, г. Красноярск, ул. </w:t>
            </w:r>
            <w:proofErr w:type="gramStart"/>
            <w:r w:rsidRPr="00C63D12">
              <w:t>Свердловская</w:t>
            </w:r>
            <w:proofErr w:type="gramEnd"/>
            <w:r w:rsidRPr="00C63D12">
              <w:t>,</w:t>
            </w:r>
            <w:r>
              <w:t xml:space="preserve"> зд. 293.</w:t>
            </w:r>
          </w:p>
          <w:p w:rsidR="004170F9" w:rsidRPr="00E03969" w:rsidRDefault="004170F9" w:rsidP="009876BF">
            <w:pPr>
              <w:ind w:firstLine="176"/>
              <w:jc w:val="both"/>
              <w:rPr>
                <w:bCs/>
                <w:lang w:bidi="ru-RU"/>
              </w:rPr>
            </w:pPr>
            <w:r w:rsidRPr="00E03969">
              <w:rPr>
                <w:bCs/>
                <w:lang w:bidi="ru-RU"/>
              </w:rPr>
              <w:t>с 1</w:t>
            </w:r>
            <w:r w:rsidR="008074EB">
              <w:rPr>
                <w:bCs/>
                <w:lang w:bidi="ru-RU"/>
              </w:rPr>
              <w:t>1</w:t>
            </w:r>
            <w:r w:rsidRPr="00E03969">
              <w:rPr>
                <w:bCs/>
                <w:lang w:bidi="ru-RU"/>
              </w:rPr>
              <w:t xml:space="preserve"> ч. 00 мин. «</w:t>
            </w:r>
            <w:r w:rsidR="008074EB">
              <w:rPr>
                <w:bCs/>
                <w:lang w:bidi="ru-RU"/>
              </w:rPr>
              <w:t>19</w:t>
            </w:r>
            <w:r w:rsidRPr="00E03969">
              <w:rPr>
                <w:bCs/>
                <w:lang w:bidi="ru-RU"/>
              </w:rPr>
              <w:t>» июня 2026 г. (по красноярскому времени)</w:t>
            </w:r>
            <w:r>
              <w:rPr>
                <w:bCs/>
                <w:lang w:bidi="ru-RU"/>
              </w:rPr>
              <w:t>.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</w:p>
          <w:p w:rsidR="004170F9" w:rsidRDefault="004170F9" w:rsidP="009876BF">
            <w:pPr>
              <w:ind w:firstLine="176"/>
              <w:jc w:val="both"/>
            </w:pPr>
            <w:r w:rsidRPr="00167DB7">
              <w:t xml:space="preserve">Победителем </w:t>
            </w:r>
            <w:r>
              <w:t>торгов</w:t>
            </w:r>
            <w:r w:rsidRPr="00167DB7">
              <w:t xml:space="preserve"> признается лицо, предложившее наиболее высокую цену договора.</w:t>
            </w:r>
          </w:p>
          <w:p w:rsidR="004170F9" w:rsidRPr="003F561A" w:rsidRDefault="004170F9" w:rsidP="009876BF">
            <w:pPr>
              <w:ind w:firstLine="176"/>
              <w:jc w:val="both"/>
            </w:pPr>
            <w:r w:rsidRPr="003F561A">
              <w:t>При предложении несколькими участниками одинаковой наиболее высокой цены за право заключения договора, победителем запроса котировок признается участник, заявка которого </w:t>
            </w:r>
            <w:r w:rsidRPr="003F561A">
              <w:rPr>
                <w:bCs/>
              </w:rPr>
              <w:t xml:space="preserve">зарегистрирована </w:t>
            </w:r>
            <w:r w:rsidRPr="003F561A">
              <w:rPr>
                <w:bCs/>
              </w:rPr>
              <w:lastRenderedPageBreak/>
              <w:t>ранее других</w:t>
            </w:r>
            <w:r>
              <w:rPr>
                <w:bCs/>
              </w:rPr>
              <w:t>.</w:t>
            </w:r>
          </w:p>
          <w:p w:rsidR="004170F9" w:rsidRPr="000D5E76" w:rsidRDefault="004170F9" w:rsidP="009876BF">
            <w:pPr>
              <w:ind w:firstLine="176"/>
              <w:jc w:val="both"/>
            </w:pPr>
            <w:r w:rsidRPr="003F561A">
              <w:t>По результатам торгов</w:t>
            </w:r>
            <w:r w:rsidRPr="00167DB7">
              <w:t xml:space="preserve"> составляется и подписывается протокол рассмотрения и оценки заявок, который размещается на сайте не позднее трех дней, следующих за днем его подписания.</w:t>
            </w:r>
            <w:r w:rsidRPr="00F30E0B">
              <w:t xml:space="preserve"> </w:t>
            </w:r>
          </w:p>
        </w:tc>
      </w:tr>
      <w:tr w:rsidR="004170F9" w:rsidRPr="00F30E0B" w:rsidTr="009876BF">
        <w:trPr>
          <w:trHeight w:val="108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Размер, порядок и сроки внесения платы за участие в процедуре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jc w:val="both"/>
              <w:rPr>
                <w:color w:val="0F1115"/>
              </w:rPr>
            </w:pPr>
            <w:r w:rsidRPr="00E03969">
              <w:rPr>
                <w:color w:val="0F1115"/>
              </w:rPr>
              <w:t>Не взимается</w:t>
            </w:r>
          </w:p>
          <w:p w:rsidR="004170F9" w:rsidRPr="00F30E0B" w:rsidRDefault="004170F9" w:rsidP="009876BF">
            <w:pPr>
              <w:jc w:val="both"/>
            </w:pPr>
          </w:p>
        </w:tc>
      </w:tr>
      <w:tr w:rsidR="004170F9" w:rsidRPr="00F30E0B" w:rsidTr="009876BF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 xml:space="preserve">Внесение изменений в извещение о проведении </w:t>
            </w:r>
            <w:r>
              <w:t>торгов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jc w:val="both"/>
            </w:pPr>
            <w:r>
              <w:t>Учреждение вправе принять решение о внесении изменений в документацию о конкурентной процедуре не позднее, чем за два дня до даты окончания подачи заявок. Не позднее, чем в течение дня, следующего за днем принятия указанного решения, такие изменения размещаются на сайте учреждения.</w:t>
            </w:r>
          </w:p>
        </w:tc>
      </w:tr>
      <w:tr w:rsidR="004170F9" w:rsidRPr="00F30E0B" w:rsidTr="009876BF">
        <w:tc>
          <w:tcPr>
            <w:tcW w:w="851" w:type="dxa"/>
            <w:shd w:val="clear" w:color="auto" w:fill="auto"/>
          </w:tcPr>
          <w:p w:rsidR="004170F9" w:rsidRPr="00F30E0B" w:rsidRDefault="004170F9" w:rsidP="004170F9">
            <w:pPr>
              <w:numPr>
                <w:ilvl w:val="0"/>
                <w:numId w:val="1"/>
              </w:numPr>
              <w:tabs>
                <w:tab w:val="left" w:pos="1593"/>
              </w:tabs>
              <w:ind w:left="0" w:firstLine="0"/>
              <w:jc w:val="center"/>
            </w:pPr>
          </w:p>
        </w:tc>
        <w:tc>
          <w:tcPr>
            <w:tcW w:w="9699" w:type="dxa"/>
            <w:gridSpan w:val="2"/>
            <w:shd w:val="clear" w:color="auto" w:fill="auto"/>
          </w:tcPr>
          <w:p w:rsidR="004170F9" w:rsidRPr="00F30E0B" w:rsidRDefault="004170F9" w:rsidP="009876BF">
            <w:pPr>
              <w:contextualSpacing/>
              <w:jc w:val="center"/>
            </w:pPr>
            <w:r w:rsidRPr="00E03969">
              <w:rPr>
                <w:b/>
              </w:rPr>
              <w:t>Требования к участникам и форме заявки</w:t>
            </w:r>
          </w:p>
        </w:tc>
      </w:tr>
      <w:tr w:rsidR="004170F9" w:rsidRPr="00F30E0B" w:rsidTr="009876BF">
        <w:tc>
          <w:tcPr>
            <w:tcW w:w="851" w:type="dxa"/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shd w:val="clear" w:color="auto" w:fill="auto"/>
          </w:tcPr>
          <w:p w:rsidR="004170F9" w:rsidRPr="00E03969" w:rsidRDefault="004170F9" w:rsidP="009876BF">
            <w:pPr>
              <w:contextualSpacing/>
              <w:rPr>
                <w:highlight w:val="yellow"/>
              </w:rPr>
            </w:pPr>
            <w:r w:rsidRPr="00F30E0B">
              <w:t>Требования к участникам процедуры</w:t>
            </w:r>
          </w:p>
        </w:tc>
        <w:tc>
          <w:tcPr>
            <w:tcW w:w="7431" w:type="dxa"/>
            <w:shd w:val="clear" w:color="auto" w:fill="auto"/>
          </w:tcPr>
          <w:p w:rsidR="004170F9" w:rsidRPr="00F30E0B" w:rsidRDefault="004170F9" w:rsidP="009876BF">
            <w:pPr>
              <w:contextualSpacing/>
              <w:jc w:val="both"/>
            </w:pPr>
            <w:r w:rsidRPr="00F30E0B">
              <w:t xml:space="preserve">Участником </w:t>
            </w:r>
            <w:r>
              <w:t>торгов</w:t>
            </w:r>
            <w:r w:rsidRPr="00F30E0B">
              <w:t xml:space="preserve">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jc w:val="both"/>
            </w:pPr>
            <w:r>
              <w:t xml:space="preserve">Участник процедуры должен соответствовать следующим требованиям: 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proofErr w:type="spellStart"/>
            <w:r>
              <w:t>непроведение</w:t>
            </w:r>
            <w:proofErr w:type="spellEnd"/>
            <w:r>
              <w:t xml:space="preserve"> ликвидации участника – юридического лица и отсутствие решения арбитражного суда о признании участника процедуры банкротом и об открытии конкурсного производства; 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jc w:val="both"/>
            </w:pPr>
            <w:r>
              <w:t xml:space="preserve">- отсутствие сведений об участнике процедуры в реестрах недобросовестных поставщиков; 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proofErr w:type="spellStart"/>
            <w:r>
              <w:t>неприостановление</w:t>
            </w:r>
            <w:proofErr w:type="spellEnd"/>
            <w:r>
              <w:t xml:space="preserve"> деятельности участника процедуры в порядке, предусмотренном кодексом Российской Федерации об административных правонарушениях.</w:t>
            </w: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jc w:val="both"/>
            </w:pPr>
            <w:r w:rsidRPr="00C63D12">
              <w:t xml:space="preserve">Организатор </w:t>
            </w:r>
            <w:r>
              <w:t>торгов</w:t>
            </w:r>
            <w:r w:rsidRPr="00C63D12">
              <w:t xml:space="preserve">, комиссия по проведению </w:t>
            </w:r>
            <w:r>
              <w:t>конкурентной</w:t>
            </w:r>
            <w:r w:rsidRPr="00C63D12">
              <w:t xml:space="preserve"> процедуры вправе запрашивать информацию и документы в целях проверки соответствия участника </w:t>
            </w:r>
            <w:r>
              <w:t>торгов</w:t>
            </w:r>
            <w:r w:rsidRPr="00C63D12">
              <w:t xml:space="preserve"> требованиям, указанным в пп.3.2 документации, у органов власти в соответствии с их компетенцией и иных лиц, за исключением лиц, подавших заявку на уч</w:t>
            </w:r>
            <w:r>
              <w:t>астие в соответствующих торгах</w:t>
            </w:r>
            <w:r w:rsidRPr="00C63D12">
              <w:t>. При этом организатор, комиссия не вправе возлагать на участников Процедуры обязанность подтверждать соответствие данным требованиям</w:t>
            </w:r>
            <w:r>
              <w:t>.</w:t>
            </w:r>
          </w:p>
        </w:tc>
      </w:tr>
      <w:tr w:rsidR="004170F9" w:rsidRPr="00F30E0B" w:rsidTr="009876BF">
        <w:tc>
          <w:tcPr>
            <w:tcW w:w="851" w:type="dxa"/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shd w:val="clear" w:color="auto" w:fill="auto"/>
          </w:tcPr>
          <w:p w:rsidR="004170F9" w:rsidRPr="00F30E0B" w:rsidRDefault="004170F9" w:rsidP="009876BF">
            <w:pPr>
              <w:contextualSpacing/>
            </w:pPr>
            <w:r w:rsidRPr="00F30E0B">
              <w:t>Перечень и требования к документам, которые должны быть приложены к заявке</w:t>
            </w:r>
          </w:p>
        </w:tc>
        <w:tc>
          <w:tcPr>
            <w:tcW w:w="7431" w:type="dxa"/>
            <w:shd w:val="clear" w:color="auto" w:fill="auto"/>
          </w:tcPr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>Заявка с прилагаемыми к ней документами и описью прилагаемых документов подается заинтересованным лицом лично или через уполномоченного представителя по месту нахождения Организатора</w:t>
            </w:r>
            <w:r>
              <w:t>.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 xml:space="preserve">Заявка на участие в </w:t>
            </w:r>
            <w:r>
              <w:t>торгах</w:t>
            </w:r>
            <w:r w:rsidRPr="00C63D12">
              <w:t xml:space="preserve"> должна содержать: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>1) сведения и документы о претенденте, подавшем такую заявку: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proofErr w:type="gramStart"/>
            <w:r w:rsidRPr="00C63D12">
              <w:t xml:space="preserve">а) для юридического лица: полное и сокращенное фирменное наименование (наименование), сведения об организационно-правовой форме, юридический адрес (местонахождение), фактический адрес (фактического местонахождения), почтовый адрес, адрес электронной почты, дата государственной регистрации при создании в Едином государственном реестре юридических лиц, </w:t>
            </w:r>
            <w:r w:rsidRPr="00C63D12">
              <w:lastRenderedPageBreak/>
              <w:t>ОГРН, ИНН, КПП, банковские реквизиты, номер контактного телефона (с указанием кода города, района), факс (с указанием кода города, района),  контактное лицо;</w:t>
            </w:r>
            <w:proofErr w:type="gramEnd"/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proofErr w:type="gramStart"/>
            <w:r w:rsidRPr="00C63D12">
              <w:t xml:space="preserve">для физического лица:  фамилия, имя, отчество, паспортные данные (номер, серия, место и дата выдачи, кем выдан), адрес регистрации, адрес фактического места жительства, дата регистрации в качестве индивидуального предпринимателя или </w:t>
            </w:r>
            <w:proofErr w:type="spellStart"/>
            <w:r w:rsidRPr="00C63D12">
              <w:t>самозанятого</w:t>
            </w:r>
            <w:proofErr w:type="spellEnd"/>
            <w:r w:rsidRPr="00C63D12">
              <w:t xml:space="preserve"> гражданина (для физических лиц, имеющих статус индивидуального предпринимателя или </w:t>
            </w:r>
            <w:proofErr w:type="spellStart"/>
            <w:r w:rsidRPr="00C63D12">
              <w:t>самозанятого</w:t>
            </w:r>
            <w:proofErr w:type="spellEnd"/>
            <w:r w:rsidRPr="00C63D12">
              <w:t xml:space="preserve"> гражданина), ОГРНИП (для физических лиц, имеющих статус индивидуального предпринимателя), ИНН, банковские реквизиты, номер контактного телефона (с указанием кода города, района</w:t>
            </w:r>
            <w:proofErr w:type="gramEnd"/>
            <w:r w:rsidRPr="00C63D12">
              <w:t>),  факс               (с указанием кода города, района), адрес электронной почты;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 xml:space="preserve">б) полученную не ранее чем за </w:t>
            </w:r>
            <w:r>
              <w:t>три месяца</w:t>
            </w:r>
            <w:r w:rsidRPr="00C63D12">
              <w:t xml:space="preserve"> до даты размещения на официальном сайте организатора извещения о проведении </w:t>
            </w:r>
            <w:r>
              <w:t>торгов</w:t>
            </w:r>
            <w:r w:rsidRPr="00C63D12">
              <w:t xml:space="preserve"> выписку из единого государственного реестра юридических лиц или копию такой выписки (для юридических лиц); </w:t>
            </w:r>
            <w:proofErr w:type="gramStart"/>
            <w:r w:rsidRPr="00C63D12">
              <w:t xml:space="preserve">полученную не ранее чем за </w:t>
            </w:r>
            <w:r>
              <w:t>три месяца</w:t>
            </w:r>
            <w:r w:rsidRPr="00C63D12">
              <w:t xml:space="preserve">, до даты размещения на официальном сайте организатора извещения о проведении </w:t>
            </w:r>
            <w:r>
              <w:t>торгов</w:t>
            </w:r>
            <w:r w:rsidRPr="00C63D12">
              <w:t xml:space="preserve">, выписку из единого государственного реестра индивидуальных предпринимателей или копию такой выписки (для индивидуальных предпринимателей) или справку о постановке на учет физического лица в качестве налогоплательщика налога на профессиональный доход по форме КНД 1122035 (для </w:t>
            </w:r>
            <w:proofErr w:type="spellStart"/>
            <w:r w:rsidRPr="00C63D12">
              <w:t>самозанятых</w:t>
            </w:r>
            <w:proofErr w:type="spellEnd"/>
            <w:r w:rsidRPr="00C63D12">
              <w:t xml:space="preserve"> граждан);</w:t>
            </w:r>
            <w:proofErr w:type="gramEnd"/>
            <w:r w:rsidRPr="00C63D12">
              <w:t xml:space="preserve"> </w:t>
            </w:r>
            <w:proofErr w:type="gramStart"/>
            <w:r w:rsidRPr="00C63D12">
              <w:t xml:space="preserve">копию документа, удостоверяющего личность (для физических лиц);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</w:t>
            </w:r>
            <w:r>
              <w:t>три месяца</w:t>
            </w:r>
            <w:r w:rsidRPr="00C63D12">
              <w:t xml:space="preserve"> до даты размещения на официальном сайте организатора </w:t>
            </w:r>
            <w:r>
              <w:t>конкурентной</w:t>
            </w:r>
            <w:r w:rsidRPr="00C63D12">
              <w:t xml:space="preserve"> процедуры извещения о проведении </w:t>
            </w:r>
            <w:r>
              <w:t>торгов</w:t>
            </w:r>
            <w:r w:rsidRPr="00C63D12">
              <w:t>;</w:t>
            </w:r>
            <w:proofErr w:type="gramEnd"/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>в) копию свидетельства о государственной регистрации юридического лица в Едином государственном реестре юридических лиц при создании (для юридических лиц), копию свидетельства о государственной регистрации физического лица в качестве индивидуального предпринимателя (для физических лиц, имеющих статус индивидуального предпринимателя);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 xml:space="preserve">г)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(далее - руководитель) обладает правом действовать от имени претендента без доверенности. В случае если от имени претендента действует иное лицо, заявка на участие в </w:t>
            </w:r>
            <w:r>
              <w:t>торгах</w:t>
            </w:r>
            <w:r w:rsidRPr="00C63D12">
              <w:t xml:space="preserve"> должна содержать помимо вышеуказанных документов также доверенность на осуществление действий от имени претендента, заверенную печатью претендента и подписанную руководителем претендента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претендента, заявка на участие в </w:t>
            </w:r>
            <w:r>
              <w:lastRenderedPageBreak/>
              <w:t>торгах</w:t>
            </w:r>
            <w:r w:rsidRPr="00C63D12">
              <w:t xml:space="preserve"> должна содержать также документ, подтверждающий полномочия данного лица, либо нотариально заверенную копию такого документа. В случае если от имени претендента - физического лица, не имеющего статуса индивидуального предпринимателя, действует иное лицо, заявка на участие в </w:t>
            </w:r>
            <w:r>
              <w:t>торгах</w:t>
            </w:r>
            <w:r w:rsidRPr="00C63D12">
              <w:t xml:space="preserve"> должна содержать нотариально удостоверенную доверенность или нотариально заверенную копию такой доверенности. В случае если от имени претендента - физического лица, имеющего статуса индивидуального предпринимателя, действует иное лицо, заявка на участие в </w:t>
            </w:r>
            <w:r>
              <w:t>торгах</w:t>
            </w:r>
            <w:r w:rsidRPr="00C63D12">
              <w:t xml:space="preserve"> должна содержать доверенность, подписанную претендентом и имеющую печать претендента или нотариально заверенную доверенность, или нотариально заверенные копии таких доверенностей.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>д) копии учредительных документов претендента (для юридических лиц);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>е)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претендента заключение договора, внесение задатка являются крупной сделкой;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t xml:space="preserve">ж)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</w:t>
            </w:r>
            <w:proofErr w:type="spellStart"/>
            <w:r>
              <w:t>торги</w:t>
            </w:r>
            <w:r w:rsidRPr="00C63D12">
              <w:t>ного</w:t>
            </w:r>
            <w:proofErr w:type="spellEnd"/>
            <w:r w:rsidRPr="00C63D12">
              <w:t xml:space="preserve">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 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>
              <w:t>з</w:t>
            </w:r>
            <w:r w:rsidRPr="00B678E2">
              <w:t>)</w:t>
            </w:r>
            <w:r>
              <w:t xml:space="preserve"> </w:t>
            </w:r>
            <w:r w:rsidRPr="00B678E2">
              <w:t xml:space="preserve">в случае проведения </w:t>
            </w:r>
            <w:r>
              <w:t>торгов</w:t>
            </w:r>
            <w:r w:rsidRPr="00B678E2">
              <w:t xml:space="preserve"> или переторжки - документ (в свободной ф</w:t>
            </w:r>
            <w:r>
              <w:t>орме) где четко указана максимал</w:t>
            </w:r>
            <w:r w:rsidRPr="00B678E2">
              <w:t>ьная цена заявки, включая налоги, выше которой представитель претендента торговаться не вправе. Этот документ заверяется двумя подписями — руководителя претендента и руководителя экономической службы претендента (при отсутствии — главным бухгалтером), а также скрепляется о</w:t>
            </w:r>
            <w:r>
              <w:t>ттиском печати претендента.</w:t>
            </w:r>
          </w:p>
          <w:p w:rsidR="004170F9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B678E2">
              <w:t>Лица, уполномоченные претендентом от его имени участвовать в Процедуре, имеют право представить документ, заверенный аналогичным образом, удостоверяющий право такого л</w:t>
            </w:r>
            <w:r>
              <w:t>ица торговаться без ограничений.</w:t>
            </w: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>
              <w:t>2</w:t>
            </w:r>
            <w:r w:rsidRPr="00C63D12">
              <w:t>) предложение претендента в отношении условий осуществления предпринимательской деятельности, являющееся Приложением № 1 к Заявке</w:t>
            </w:r>
            <w:r>
              <w:t>,</w:t>
            </w:r>
            <w:r w:rsidRPr="00C63D12">
              <w:t xml:space="preserve"> включающее перечень продукции, предлагаемой к реализации на территории МАУ «Парк «Роев ручей», условия упаковки продукции, требования, предъявляемые претендентом к внешнему виду сотрудников и иные условия, которые претендент посчитает нужным указать в предложении.</w:t>
            </w:r>
            <w:r w:rsidRPr="00F30E0B">
              <w:t xml:space="preserve"> </w:t>
            </w:r>
          </w:p>
        </w:tc>
      </w:tr>
      <w:tr w:rsidR="004170F9" w:rsidRPr="00F30E0B" w:rsidTr="009876BF">
        <w:trPr>
          <w:trHeight w:val="20"/>
        </w:trPr>
        <w:tc>
          <w:tcPr>
            <w:tcW w:w="851" w:type="dxa"/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  <w:r w:rsidRPr="00F30E0B"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4170F9" w:rsidRPr="00F30E0B" w:rsidRDefault="004170F9" w:rsidP="009876BF">
            <w:r w:rsidRPr="00F30E0B">
              <w:t xml:space="preserve">Требования к содержанию, форме, оформлению и составу заявки на </w:t>
            </w:r>
            <w:r w:rsidRPr="00F30E0B">
              <w:lastRenderedPageBreak/>
              <w:t>участие в закупке</w:t>
            </w:r>
          </w:p>
        </w:tc>
        <w:tc>
          <w:tcPr>
            <w:tcW w:w="7431" w:type="dxa"/>
            <w:shd w:val="clear" w:color="auto" w:fill="auto"/>
          </w:tcPr>
          <w:p w:rsidR="004170F9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C63D12">
              <w:lastRenderedPageBreak/>
              <w:t xml:space="preserve">Заявка и опись представленных документов подаются в двух экземплярах, один из которых остается у организатора, другой - у претендента. Заявка регистрируется организатором в журнале приема заявок с присвоением каждой заявке номера и с указанием даты и времени подачи документов. На экземпляре заявки и экземпляре </w:t>
            </w:r>
            <w:r w:rsidRPr="00C63D12">
              <w:lastRenderedPageBreak/>
              <w:t>описи документов претендента организатором делается отметка о принятии заявки с указанием номера, даты и времени подачи документов.</w:t>
            </w:r>
          </w:p>
          <w:p w:rsidR="004170F9" w:rsidRDefault="004170F9" w:rsidP="009876BF">
            <w:pPr>
              <w:ind w:firstLine="176"/>
              <w:jc w:val="both"/>
            </w:pPr>
            <w:r>
              <w:t>Заявка и приложенные к ней документы предоставляются в запечатанном конверте;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>Все листы заявки должны быть прошиты и пронумерованы. Заявка должна содержать опись входящих в ее состав документов, быть скреплена печатью претендента (для юридических лиц) и подписана претендентом или уполномоченным претендентом лицом (проставляется подпись и расшифровка подписи). Соблюдение претендентом указанных требований означает, что все документы и сведения, входящие в состав заявки, поданы от имени претендента, а также подтверждает подлинность и достоверность представленных в составе заявки документов и сведений.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Претендент вправе подать только одну заявку в отношении каждого предмета </w:t>
            </w:r>
            <w:r>
              <w:t>торгов</w:t>
            </w:r>
            <w:r w:rsidRPr="00C63D12">
              <w:t xml:space="preserve"> (лота).</w:t>
            </w:r>
          </w:p>
          <w:p w:rsidR="004170F9" w:rsidRPr="00C63D12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</w:p>
          <w:p w:rsidR="004170F9" w:rsidRPr="00E03969" w:rsidRDefault="004170F9" w:rsidP="009876BF">
            <w:pPr>
              <w:snapToGrid w:val="0"/>
              <w:jc w:val="both"/>
              <w:rPr>
                <w:bCs/>
              </w:rPr>
            </w:pPr>
            <w:r w:rsidRPr="00E03969">
              <w:rPr>
                <w:bCs/>
              </w:rPr>
              <w:t>Заявка должна содержать следующие документы и сведения:</w:t>
            </w:r>
          </w:p>
          <w:p w:rsidR="004170F9" w:rsidRPr="00E03969" w:rsidRDefault="004170F9" w:rsidP="009876BF">
            <w:pPr>
              <w:snapToGrid w:val="0"/>
              <w:jc w:val="both"/>
              <w:rPr>
                <w:bCs/>
              </w:rPr>
            </w:pPr>
            <w:r w:rsidRPr="00E03969">
              <w:rPr>
                <w:bCs/>
              </w:rPr>
              <w:t xml:space="preserve">- заявка на участие в </w:t>
            </w:r>
            <w:r>
              <w:rPr>
                <w:bCs/>
              </w:rPr>
              <w:t>торгах</w:t>
            </w:r>
            <w:r w:rsidRPr="00E03969">
              <w:rPr>
                <w:bCs/>
              </w:rPr>
              <w:t xml:space="preserve"> (далее по тексту – заявка) </w:t>
            </w:r>
            <w:r w:rsidRPr="00E03969">
              <w:rPr>
                <w:b/>
                <w:bCs/>
                <w:u w:val="single"/>
              </w:rPr>
              <w:t>исключительно по форме</w:t>
            </w:r>
            <w:r w:rsidRPr="00E03969">
              <w:rPr>
                <w:bCs/>
              </w:rPr>
              <w:t xml:space="preserve">, содержащейся в </w:t>
            </w:r>
            <w:r w:rsidRPr="00F30E0B">
              <w:t xml:space="preserve">Разделе 3 </w:t>
            </w:r>
            <w:r w:rsidRPr="00E03969">
              <w:rPr>
                <w:rFonts w:eastAsia="Calibri"/>
                <w:bCs/>
                <w:kern w:val="32"/>
                <w:lang w:eastAsia="en-US"/>
              </w:rPr>
              <w:t xml:space="preserve">извещения. </w:t>
            </w:r>
          </w:p>
          <w:p w:rsidR="004170F9" w:rsidRPr="00E03969" w:rsidRDefault="004170F9" w:rsidP="009876B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03969">
              <w:rPr>
                <w:bCs/>
              </w:rPr>
              <w:t>- фирменное наименование, сведения об организационно-правовой форме, о месте нахождения, юридический и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 (файл со сведениями в текстовом формате);</w:t>
            </w:r>
          </w:p>
          <w:p w:rsidR="004170F9" w:rsidRPr="00E03969" w:rsidRDefault="004170F9" w:rsidP="009876BF">
            <w:pPr>
              <w:snapToGrid w:val="0"/>
              <w:jc w:val="both"/>
              <w:rPr>
                <w:bCs/>
              </w:rPr>
            </w:pPr>
            <w:r w:rsidRPr="00E03969">
              <w:rPr>
                <w:bCs/>
              </w:rPr>
              <w:t xml:space="preserve">- документы, поименованные в пункте 4.2 настоящего извещения. </w:t>
            </w:r>
          </w:p>
          <w:p w:rsidR="004170F9" w:rsidRPr="00E03969" w:rsidRDefault="004170F9" w:rsidP="009876BF">
            <w:pPr>
              <w:snapToGrid w:val="0"/>
              <w:jc w:val="both"/>
              <w:rPr>
                <w:bCs/>
              </w:rPr>
            </w:pPr>
            <w:r w:rsidRPr="00E03969">
              <w:rPr>
                <w:bCs/>
              </w:rPr>
              <w:t>Для участия в процедуре закупки участники предоставляют копии</w:t>
            </w:r>
            <w:r>
              <w:rPr>
                <w:bCs/>
              </w:rPr>
              <w:t xml:space="preserve"> документов</w:t>
            </w:r>
            <w:r w:rsidRPr="00E03969">
              <w:rPr>
                <w:bCs/>
              </w:rPr>
              <w:t xml:space="preserve"> с описью и нумерацией страниц предоставляемых документов (Приложение № 1 к заявке на участие в </w:t>
            </w:r>
            <w:r>
              <w:rPr>
                <w:bCs/>
              </w:rPr>
              <w:t>торгах</w:t>
            </w:r>
            <w:r w:rsidRPr="00E03969">
              <w:rPr>
                <w:bCs/>
              </w:rPr>
              <w:t>).</w:t>
            </w:r>
          </w:p>
          <w:p w:rsidR="004170F9" w:rsidRPr="00E03969" w:rsidRDefault="004170F9" w:rsidP="009876BF">
            <w:pPr>
              <w:snapToGrid w:val="0"/>
              <w:jc w:val="both"/>
              <w:rPr>
                <w:bCs/>
              </w:rPr>
            </w:pPr>
            <w:r w:rsidRPr="00E03969">
              <w:rPr>
                <w:bCs/>
              </w:rPr>
              <w:t>Участник несет все расходы, связанные с подготовкой и подачей заявки и иных документов, а также участием в процедуре торгов.</w:t>
            </w: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jc w:val="both"/>
            </w:pPr>
            <w:r w:rsidRPr="00F30E0B">
              <w:t xml:space="preserve">В случае установления факта недостоверности сведений, содержащихся в документах, </w:t>
            </w:r>
            <w:r w:rsidRPr="0068382A">
              <w:t xml:space="preserve">представленных заявителем или участником </w:t>
            </w:r>
            <w:r>
              <w:t>торгов</w:t>
            </w:r>
            <w:r w:rsidRPr="0068382A">
              <w:t xml:space="preserve"> в соответствии с </w:t>
            </w:r>
            <w:hyperlink r:id="rId10" w:history="1">
              <w:r w:rsidRPr="00E03969">
                <w:rPr>
                  <w:rStyle w:val="a4"/>
                </w:rPr>
                <w:t>4.1</w:t>
              </w:r>
            </w:hyperlink>
            <w:r w:rsidRPr="0068382A">
              <w:t xml:space="preserve"> и 4.2 настоящей Информационной карты, комиссия обязана отстранить такого заявителя или участника </w:t>
            </w:r>
            <w:r>
              <w:t>торгов</w:t>
            </w:r>
            <w:r w:rsidRPr="0068382A">
              <w:t xml:space="preserve"> от участия в </w:t>
            </w:r>
            <w:r>
              <w:t xml:space="preserve">торгах </w:t>
            </w:r>
            <w:r w:rsidRPr="0068382A">
              <w:t>на любом этапе их проведения.</w:t>
            </w:r>
          </w:p>
        </w:tc>
      </w:tr>
      <w:tr w:rsidR="004170F9" w:rsidRPr="00F30E0B" w:rsidTr="009876BF">
        <w:trPr>
          <w:trHeight w:val="25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 xml:space="preserve">Порядок рассмотрения заявок на участие в </w:t>
            </w:r>
            <w:r>
              <w:t>торгах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Pr="00C63D12" w:rsidRDefault="004170F9" w:rsidP="009876BF">
            <w:pPr>
              <w:ind w:firstLine="567"/>
              <w:jc w:val="both"/>
            </w:pPr>
            <w:r w:rsidRPr="00C63D12">
              <w:t xml:space="preserve">После окончания срока приема заявок комиссия по проведению </w:t>
            </w:r>
            <w:r>
              <w:t>конкурентной</w:t>
            </w:r>
            <w:r w:rsidRPr="00C63D12">
              <w:t xml:space="preserve"> процедуры рассматривает полученные от претендентов заявки и приложенные к ним документы на предмет соответствия требованиям, установленным документацией о проведении </w:t>
            </w:r>
            <w:r>
              <w:t>конкурентной</w:t>
            </w:r>
            <w:r w:rsidRPr="00C63D12">
              <w:t xml:space="preserve"> процедуры, и соответствия претендентов требованиям, установленным документаци</w:t>
            </w:r>
            <w:r>
              <w:t>ей</w:t>
            </w:r>
            <w:r w:rsidRPr="00C63D12">
              <w:t xml:space="preserve"> о проведении </w:t>
            </w:r>
            <w:r>
              <w:t>торгов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567"/>
              <w:jc w:val="both"/>
            </w:pPr>
            <w:proofErr w:type="gramStart"/>
            <w:r w:rsidRPr="00C63D12">
              <w:t xml:space="preserve">В случае установления факта подачи одним претендентом двух и более заявок на участие в </w:t>
            </w:r>
            <w:r>
              <w:t>торгах</w:t>
            </w:r>
            <w:r w:rsidRPr="00C63D12">
              <w:t xml:space="preserve"> в отношении одного и того же лота при условии, что поданные ранее заявки таким претендентом не отозваны, все заявки на участие в </w:t>
            </w:r>
            <w:r>
              <w:t>торгах</w:t>
            </w:r>
            <w:r w:rsidRPr="00C63D12">
              <w:t xml:space="preserve"> такого претендента, поданные в отношении данного лота, не рассматриваются и возвращаются такому претенденту.</w:t>
            </w:r>
            <w:proofErr w:type="gramEnd"/>
          </w:p>
          <w:p w:rsidR="004170F9" w:rsidRPr="00C63D12" w:rsidRDefault="004170F9" w:rsidP="009876BF">
            <w:pPr>
              <w:ind w:firstLine="567"/>
              <w:jc w:val="both"/>
            </w:pPr>
            <w:r w:rsidRPr="00C63D12">
              <w:t xml:space="preserve">На основании результатов рассмотрения заявок на участие в </w:t>
            </w:r>
            <w:r>
              <w:t>торгах</w:t>
            </w:r>
            <w:r w:rsidRPr="00C63D12">
              <w:t xml:space="preserve"> комиссией по проведению </w:t>
            </w:r>
            <w:r>
              <w:t>конкурентной</w:t>
            </w:r>
            <w:r w:rsidRPr="00C63D12">
              <w:t xml:space="preserve"> процедуры </w:t>
            </w:r>
            <w:r w:rsidRPr="00C63D12">
              <w:lastRenderedPageBreak/>
              <w:t xml:space="preserve">принимается решение о допуске к участию в </w:t>
            </w:r>
            <w:r>
              <w:t>торгах</w:t>
            </w:r>
            <w:r w:rsidRPr="00C63D12">
              <w:t xml:space="preserve"> претендента и о признании претендента участником </w:t>
            </w:r>
            <w:r>
              <w:t>торгов</w:t>
            </w:r>
            <w:r w:rsidRPr="00C63D12">
              <w:t xml:space="preserve"> или </w:t>
            </w:r>
            <w:proofErr w:type="gramStart"/>
            <w:r w:rsidRPr="00C63D12">
              <w:t xml:space="preserve">об отказе в допуске такого претендента к участию в </w:t>
            </w:r>
            <w:r>
              <w:t>торгах</w:t>
            </w:r>
            <w:r w:rsidRPr="00C63D12">
              <w:t xml:space="preserve"> в порядке</w:t>
            </w:r>
            <w:proofErr w:type="gramEnd"/>
            <w:r w:rsidRPr="00C63D12">
              <w:t xml:space="preserve"> и по основаниям, предусмотренным документаци</w:t>
            </w:r>
            <w:r>
              <w:t>ей</w:t>
            </w:r>
            <w:r w:rsidRPr="00C63D12">
              <w:t xml:space="preserve"> о проведении </w:t>
            </w:r>
            <w:r>
              <w:t>торгов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567"/>
              <w:jc w:val="both"/>
            </w:pPr>
            <w:r w:rsidRPr="00C63D12">
              <w:t>Заявка признается надлежащей, если она соответствует всем требованиям, изложенным в документации. По решению комиссии заявка может быть признана надлежащей при наличии в ней несущественных отклонений от требований, установленных документацией (создание преимущественных условий одному или нескольким участникам при этом не допускается). Отклонения считаются несущественными если:</w:t>
            </w:r>
          </w:p>
          <w:p w:rsidR="004170F9" w:rsidRPr="00C63D12" w:rsidRDefault="004170F9" w:rsidP="009876BF">
            <w:pPr>
              <w:ind w:firstLine="567"/>
              <w:jc w:val="both"/>
            </w:pPr>
            <w:r w:rsidRPr="00C63D12">
              <w:t>1) не влияют на предмет договора;</w:t>
            </w:r>
          </w:p>
          <w:p w:rsidR="004170F9" w:rsidRPr="00C63D12" w:rsidRDefault="004170F9" w:rsidP="009876BF">
            <w:pPr>
              <w:ind w:firstLine="567"/>
              <w:jc w:val="both"/>
            </w:pPr>
            <w:r w:rsidRPr="00C63D12">
              <w:t xml:space="preserve">2) не ограничивают любым образом права Учреждения или обязательства хозяйствующего субъекта по договору, в отличие от того, как они предусмотрены в документации о проведении </w:t>
            </w:r>
            <w:r>
              <w:t>торгов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567"/>
              <w:jc w:val="both"/>
            </w:pPr>
            <w:r w:rsidRPr="00C63D12">
              <w:t xml:space="preserve">Претенденты на участие в </w:t>
            </w:r>
            <w:r>
              <w:t>торгах</w:t>
            </w:r>
            <w:r w:rsidRPr="00C63D12">
              <w:t xml:space="preserve">, заявки которых не были отклонены комиссией по проведению </w:t>
            </w:r>
            <w:r>
              <w:t>конкурентной</w:t>
            </w:r>
            <w:r w:rsidRPr="00C63D12">
              <w:t xml:space="preserve"> процедуры, признаются участниками </w:t>
            </w:r>
            <w:r>
              <w:t>торгов</w:t>
            </w:r>
            <w:r w:rsidRPr="00C63D12">
              <w:t xml:space="preserve"> и допускаются к участию в</w:t>
            </w:r>
            <w:r>
              <w:t xml:space="preserve"> торгах</w:t>
            </w:r>
            <w:r w:rsidRPr="00C63D12">
              <w:t>.</w:t>
            </w:r>
          </w:p>
          <w:p w:rsidR="004170F9" w:rsidRDefault="004170F9" w:rsidP="009876BF">
            <w:pPr>
              <w:ind w:firstLine="567"/>
              <w:jc w:val="both"/>
            </w:pPr>
            <w:r w:rsidRPr="003F561A">
              <w:t>Заявки, содержащие предложение о цене ниже начальной (минимальной) цены договора, указанной в извещении, отклоняются комиссией</w:t>
            </w:r>
            <w:r>
              <w:t>.</w:t>
            </w:r>
          </w:p>
          <w:p w:rsidR="004170F9" w:rsidRPr="00C63D12" w:rsidRDefault="004170F9" w:rsidP="009876BF">
            <w:pPr>
              <w:ind w:firstLine="567"/>
              <w:jc w:val="both"/>
            </w:pPr>
            <w:r w:rsidRPr="00C63D12">
              <w:t xml:space="preserve">Результаты рассмотрения заявок фиксируются в протоколе рассмотрения заявок на участие в </w:t>
            </w:r>
            <w:r>
              <w:t>торгах</w:t>
            </w:r>
            <w:r w:rsidRPr="00C63D12">
              <w:t xml:space="preserve">. Протокол ведется комиссией по проведению </w:t>
            </w:r>
            <w:r>
              <w:t>конкурентной</w:t>
            </w:r>
            <w:r w:rsidRPr="00C63D12">
              <w:t xml:space="preserve"> процедуры и подписывается всеми присутствующими на заседании членами комиссии в день окончания рассмотрения заявок. </w:t>
            </w:r>
          </w:p>
          <w:p w:rsidR="004170F9" w:rsidRPr="00C63D12" w:rsidRDefault="004170F9" w:rsidP="009876BF">
            <w:pPr>
              <w:ind w:firstLine="567"/>
              <w:jc w:val="both"/>
            </w:pPr>
            <w:proofErr w:type="gramStart"/>
            <w:r w:rsidRPr="00C63D12">
              <w:t xml:space="preserve">Протокол должен содержать сведения о претендентах, решение о допуске каждого претендента к участию в </w:t>
            </w:r>
            <w:r>
              <w:t>торгах</w:t>
            </w:r>
            <w:r w:rsidRPr="00C63D12">
              <w:t xml:space="preserve"> и признании его участником </w:t>
            </w:r>
            <w:r>
              <w:t>торгов</w:t>
            </w:r>
            <w:r w:rsidRPr="00C63D12">
              <w:t xml:space="preserve"> или об отказе в допуске к участию в </w:t>
            </w:r>
            <w:r>
              <w:t>торгах</w:t>
            </w:r>
            <w:r w:rsidRPr="00C63D12">
              <w:t xml:space="preserve"> с обоснованием такого решения и указанием пунктов Положения МАУ  «Парк «Роев ручей» </w:t>
            </w:r>
            <w:r w:rsidRPr="00C63D12">
              <w:rPr>
                <w:bCs/>
              </w:rPr>
              <w:t>о проведении конкурентных процедур муниципальным автономным учреждением «Красноярский парк флоры и фауны «Роев ручей»</w:t>
            </w:r>
            <w:r w:rsidRPr="00C63D12">
              <w:t xml:space="preserve">, положений документации о проведении </w:t>
            </w:r>
            <w:r>
              <w:t>торгов</w:t>
            </w:r>
            <w:proofErr w:type="gramEnd"/>
            <w:r w:rsidRPr="00C63D12">
              <w:t xml:space="preserve">, которым не соответствует претендент или его заявка на участие в </w:t>
            </w:r>
            <w:r>
              <w:t>торгах</w:t>
            </w:r>
            <w:r w:rsidRPr="00C63D12">
              <w:t xml:space="preserve">, положений такой заявки, не соответствующих требованиям документации о проведении </w:t>
            </w:r>
            <w:r>
              <w:t>торгов</w:t>
            </w:r>
            <w:r w:rsidRPr="00C63D12">
              <w:t xml:space="preserve">. Указанный протокол не позднее </w:t>
            </w:r>
            <w:r>
              <w:t xml:space="preserve">2 двух </w:t>
            </w:r>
            <w:proofErr w:type="gramStart"/>
            <w:r w:rsidRPr="00C63D12">
              <w:t>дн</w:t>
            </w:r>
            <w:r>
              <w:t>ей</w:t>
            </w:r>
            <w:r w:rsidRPr="00C63D12">
              <w:t>, следующ</w:t>
            </w:r>
            <w:r>
              <w:t>их</w:t>
            </w:r>
            <w:r w:rsidRPr="00C63D12">
              <w:t xml:space="preserve"> за днем окончания рассмотрения заявок на участие в </w:t>
            </w:r>
            <w:r>
              <w:t>торгах</w:t>
            </w:r>
            <w:r w:rsidRPr="00C63D12">
              <w:t xml:space="preserve"> размещается</w:t>
            </w:r>
            <w:proofErr w:type="gramEnd"/>
            <w:r w:rsidRPr="00C63D12">
              <w:t xml:space="preserve"> на официальном сайте организатора. </w:t>
            </w:r>
            <w:proofErr w:type="gramStart"/>
            <w:r w:rsidRPr="00C63D12">
              <w:t xml:space="preserve">Претендентам направляются по электронной почте или заказным (или ценным) письмом уведомления о принятых комиссией по проведению </w:t>
            </w:r>
            <w:r>
              <w:t>конкурентной</w:t>
            </w:r>
            <w:r w:rsidRPr="00C63D12">
              <w:t xml:space="preserve"> процедуры решениях не позднее дня, следующего за днем подписания протокола рассмотрения заявок на участие в </w:t>
            </w:r>
            <w:r>
              <w:t>торгах</w:t>
            </w:r>
            <w:r w:rsidRPr="00C63D12">
              <w:t xml:space="preserve">. </w:t>
            </w:r>
            <w:proofErr w:type="gramEnd"/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В случае если по окончании срока подачи заявок на участие в </w:t>
            </w:r>
            <w:r>
              <w:t>торгах</w:t>
            </w:r>
            <w:r w:rsidRPr="00C63D12">
              <w:t xml:space="preserve"> подана только одна заявка или не подано ни одной заявки, в указанный протокол вносится информация о признании </w:t>
            </w:r>
            <w:r>
              <w:t>торгов</w:t>
            </w:r>
            <w:r w:rsidRPr="00C63D12">
              <w:t xml:space="preserve"> </w:t>
            </w:r>
            <w:proofErr w:type="gramStart"/>
            <w:r w:rsidRPr="00C63D12">
              <w:t>несостоявшим</w:t>
            </w:r>
            <w:r>
              <w:t>и</w:t>
            </w:r>
            <w:r w:rsidRPr="00C63D12">
              <w:t>ся</w:t>
            </w:r>
            <w:proofErr w:type="gramEnd"/>
            <w:r w:rsidRPr="00C63D12">
              <w:t xml:space="preserve">. В случае если по результатам рассмотрения заявок комиссия по проведению </w:t>
            </w:r>
            <w:r>
              <w:t>конкурентной</w:t>
            </w:r>
            <w:r w:rsidRPr="00C63D12">
              <w:t xml:space="preserve"> процедуры отклонила все заявки или не отклонила только одну заявку, </w:t>
            </w:r>
            <w:r>
              <w:t>торги</w:t>
            </w:r>
            <w:r w:rsidRPr="00C63D12">
              <w:t xml:space="preserve"> призна</w:t>
            </w:r>
            <w:r>
              <w:t>ются</w:t>
            </w:r>
            <w:r w:rsidRPr="00C63D12">
              <w:t xml:space="preserve"> несостоявшимся. В последнем случае Учреждение вправе заключить договор с единственным участником </w:t>
            </w:r>
            <w:r>
              <w:t>торгов</w:t>
            </w:r>
            <w:r w:rsidRPr="00C63D12">
              <w:t xml:space="preserve">, заявка которого была не отклонена. При этом </w:t>
            </w:r>
            <w:r>
              <w:t>торги</w:t>
            </w:r>
            <w:r w:rsidRPr="00C63D12">
              <w:t xml:space="preserve"> призна</w:t>
            </w:r>
            <w:r>
              <w:t>ю</w:t>
            </w:r>
            <w:r w:rsidRPr="00C63D12">
              <w:t xml:space="preserve">тся несостоявшимся только в </w:t>
            </w:r>
            <w:r w:rsidRPr="00C63D12">
              <w:lastRenderedPageBreak/>
              <w:t>отношении того лота, все заявки по которому были отклонены или не была отклонена только одна заявка.</w:t>
            </w:r>
          </w:p>
          <w:p w:rsidR="004170F9" w:rsidRPr="00F30E0B" w:rsidRDefault="004170F9" w:rsidP="009876BF">
            <w:pPr>
              <w:ind w:firstLine="176"/>
              <w:jc w:val="both"/>
            </w:pPr>
            <w:r w:rsidRPr="00C63D12">
              <w:t xml:space="preserve">Документы претендентов хранятся в комиссии по проведению </w:t>
            </w:r>
            <w:r>
              <w:t>конкурентной</w:t>
            </w:r>
            <w:r w:rsidRPr="00C63D12">
              <w:t xml:space="preserve"> процедуры в течение всего срока проведения процедуры. После завершения процедуры и оформления ее результатов, документы, поданные для регистрации претендента, могут быть возвращены по его письменному заявлению.</w:t>
            </w:r>
          </w:p>
        </w:tc>
      </w:tr>
      <w:tr w:rsidR="004170F9" w:rsidRPr="00F30E0B" w:rsidTr="009876BF">
        <w:trPr>
          <w:trHeight w:val="1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contextualSpacing/>
            </w:pPr>
            <w:r w:rsidRPr="00F30E0B">
              <w:t>Порядок и срок отзыва заявок на участие в процедуре</w:t>
            </w: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contextualSpacing/>
              <w:jc w:val="both"/>
            </w:pPr>
            <w:r w:rsidRPr="00F30E0B">
              <w:t xml:space="preserve"> Заявитель вправе отозвать заявку в любое время до установленных даты и времени окончания срока подачи заявок на участие в </w:t>
            </w:r>
            <w:r>
              <w:t>торгах</w:t>
            </w:r>
            <w:r w:rsidRPr="00F30E0B">
              <w:t xml:space="preserve">. </w:t>
            </w:r>
          </w:p>
        </w:tc>
      </w:tr>
      <w:tr w:rsidR="004170F9" w:rsidRPr="00F30E0B" w:rsidTr="009876BF">
        <w:trPr>
          <w:trHeight w:val="32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pStyle w:val="a3"/>
              <w:spacing w:before="0" w:beforeAutospacing="0" w:after="0" w:afterAutospacing="0"/>
            </w:pPr>
            <w:r w:rsidRPr="00F30E0B">
              <w:t xml:space="preserve">Срок, в течение которого организатор вправе отказаться от проведения </w:t>
            </w:r>
            <w:r>
              <w:t>торгов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ind w:firstLine="176"/>
              <w:jc w:val="both"/>
            </w:pPr>
            <w:r w:rsidRPr="00C63D12">
              <w:t xml:space="preserve">Организатор </w:t>
            </w:r>
            <w:r>
              <w:t>торгов</w:t>
            </w:r>
            <w:r w:rsidRPr="00C63D12">
              <w:t xml:space="preserve"> вправе отказаться от проведения </w:t>
            </w:r>
            <w:r>
              <w:t>торгов</w:t>
            </w:r>
            <w:r w:rsidRPr="00C63D12">
              <w:t>. Извещение</w:t>
            </w:r>
            <w:r>
              <w:t>,</w:t>
            </w:r>
            <w:r w:rsidRPr="00C63D12">
              <w:t xml:space="preserve"> об отказе от проведения </w:t>
            </w:r>
            <w:r>
              <w:t>торгов,</w:t>
            </w:r>
            <w:r w:rsidRPr="00C63D12">
              <w:t xml:space="preserve"> размещается на официальном сайте организатора в течение одного дня от даты принятия решения об отказе от проведения </w:t>
            </w:r>
            <w:r>
              <w:t>торгов</w:t>
            </w:r>
            <w:r w:rsidRPr="00C63D12">
              <w:t>. В течение двух рабочих дней</w:t>
            </w:r>
            <w:r>
              <w:t>,</w:t>
            </w:r>
            <w:r w:rsidRPr="00C63D12">
              <w:t xml:space="preserve"> от даты принятия указанного решения</w:t>
            </w:r>
            <w:r>
              <w:t>,</w:t>
            </w:r>
            <w:r w:rsidRPr="00C63D12">
              <w:t xml:space="preserve"> организатор направляет соответствующие уведомления всем претендентам по электронной почте или заказным (или ценным) письмом. </w:t>
            </w:r>
          </w:p>
        </w:tc>
      </w:tr>
      <w:tr w:rsidR="004170F9" w:rsidRPr="00F30E0B" w:rsidTr="009876BF">
        <w:trPr>
          <w:trHeight w:val="62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  <w:r w:rsidRPr="00F30E0B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pStyle w:val="a3"/>
              <w:spacing w:before="0" w:beforeAutospacing="0" w:after="0" w:afterAutospacing="0"/>
            </w:pPr>
            <w:r w:rsidRPr="00F30E0B">
              <w:t> Требование о внесении задатка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Pr="00C63D12" w:rsidRDefault="004170F9" w:rsidP="009876BF">
            <w:pPr>
              <w:widowControl w:val="0"/>
              <w:jc w:val="both"/>
            </w:pPr>
            <w:r w:rsidRPr="00C63D12">
              <w:t xml:space="preserve">Организатором </w:t>
            </w:r>
            <w:r>
              <w:t>торгов</w:t>
            </w:r>
            <w:r w:rsidRPr="00C63D12">
              <w:t xml:space="preserve"> устанавливается задаток в размере </w:t>
            </w:r>
            <w:r>
              <w:t>1</w:t>
            </w:r>
            <w:r w:rsidRPr="00C63D12">
              <w:t>0 % начальной цены п</w:t>
            </w:r>
            <w:r>
              <w:t xml:space="preserve">родажи лота, который составляет 26 035 </w:t>
            </w:r>
            <w:r w:rsidRPr="00C63D12">
              <w:t>(</w:t>
            </w:r>
            <w:r>
              <w:t xml:space="preserve">двадцать шесть тысяч тридцать пять) </w:t>
            </w:r>
            <w:r w:rsidRPr="00C63D12">
              <w:t>рубл</w:t>
            </w:r>
            <w:r>
              <w:t>ей</w:t>
            </w:r>
            <w:r w:rsidRPr="00C63D12">
              <w:t xml:space="preserve"> </w:t>
            </w:r>
            <w:r>
              <w:t>80</w:t>
            </w:r>
            <w:r w:rsidRPr="00C63D12">
              <w:t xml:space="preserve"> копеек;</w:t>
            </w:r>
          </w:p>
          <w:p w:rsidR="004170F9" w:rsidRPr="00C63D12" w:rsidRDefault="004170F9" w:rsidP="009876BF">
            <w:pPr>
              <w:jc w:val="both"/>
            </w:pPr>
            <w:r w:rsidRPr="00C63D12">
              <w:t>Претендент вносит задаток на расчетный счет организатора по следующим реквизитам:</w:t>
            </w:r>
          </w:p>
          <w:p w:rsidR="004170F9" w:rsidRPr="00C63D12" w:rsidRDefault="004170F9" w:rsidP="009876BF">
            <w:pPr>
              <w:pStyle w:val="ConsNonformat"/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</w:p>
          <w:p w:rsidR="004170F9" w:rsidRPr="00C63D12" w:rsidRDefault="004170F9" w:rsidP="009876BF">
            <w:pPr>
              <w:pStyle w:val="ConsNonformat"/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12">
              <w:rPr>
                <w:rFonts w:ascii="Times New Roman" w:hAnsi="Times New Roman" w:cs="Times New Roman"/>
                <w:sz w:val="24"/>
                <w:szCs w:val="24"/>
              </w:rPr>
              <w:t>«Красноярский парк флоры и фауны «Роев ручей»</w:t>
            </w:r>
          </w:p>
          <w:p w:rsidR="004170F9" w:rsidRPr="00C63D12" w:rsidRDefault="004170F9" w:rsidP="009876BF">
            <w:pPr>
              <w:pStyle w:val="ConsNonformat"/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12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63D12">
              <w:rPr>
                <w:rFonts w:ascii="Times New Roman" w:hAnsi="Times New Roman" w:cs="Times New Roman"/>
                <w:sz w:val="24"/>
                <w:szCs w:val="24"/>
              </w:rPr>
              <w:t xml:space="preserve">, г. Красноярск ул. </w:t>
            </w:r>
            <w:proofErr w:type="gramStart"/>
            <w:r w:rsidRPr="00C63D12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C63D12">
              <w:rPr>
                <w:rFonts w:ascii="Times New Roman" w:hAnsi="Times New Roman" w:cs="Times New Roman"/>
                <w:sz w:val="24"/>
                <w:szCs w:val="24"/>
              </w:rPr>
              <w:t>, 293</w:t>
            </w:r>
          </w:p>
          <w:p w:rsidR="004170F9" w:rsidRPr="00C63D12" w:rsidRDefault="004170F9" w:rsidP="009876BF">
            <w:pPr>
              <w:pStyle w:val="ConsNonformat"/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12">
              <w:rPr>
                <w:rFonts w:ascii="Times New Roman" w:hAnsi="Times New Roman" w:cs="Times New Roman"/>
                <w:sz w:val="24"/>
                <w:szCs w:val="24"/>
              </w:rPr>
              <w:t xml:space="preserve">ИНН 2464033183 КПП 246401001 </w:t>
            </w:r>
          </w:p>
          <w:p w:rsidR="004170F9" w:rsidRPr="00C63D12" w:rsidRDefault="004170F9" w:rsidP="009876BF">
            <w:pPr>
              <w:pStyle w:val="ConsNonformat"/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12">
              <w:rPr>
                <w:rFonts w:ascii="Times New Roman" w:hAnsi="Times New Roman" w:cs="Times New Roman"/>
                <w:sz w:val="24"/>
                <w:szCs w:val="24"/>
              </w:rPr>
              <w:t>ОГРН 1022402301558</w:t>
            </w:r>
          </w:p>
          <w:p w:rsidR="004170F9" w:rsidRPr="00C63D12" w:rsidRDefault="004170F9" w:rsidP="009876BF">
            <w:pPr>
              <w:widowControl w:val="0"/>
              <w:autoSpaceDE w:val="0"/>
              <w:autoSpaceDN w:val="0"/>
              <w:adjustRightInd w:val="0"/>
              <w:ind w:right="-6" w:firstLine="567"/>
              <w:jc w:val="both"/>
            </w:pPr>
            <w:proofErr w:type="gramStart"/>
            <w:r w:rsidRPr="00C63D12">
              <w:t>р</w:t>
            </w:r>
            <w:proofErr w:type="gramEnd"/>
            <w:r w:rsidRPr="00C63D12">
              <w:t>/с 40703810531284016080</w:t>
            </w:r>
          </w:p>
          <w:p w:rsidR="004170F9" w:rsidRPr="00C63D12" w:rsidRDefault="004170F9" w:rsidP="009876BF">
            <w:pPr>
              <w:widowControl w:val="0"/>
              <w:autoSpaceDE w:val="0"/>
              <w:autoSpaceDN w:val="0"/>
              <w:adjustRightInd w:val="0"/>
              <w:ind w:right="-6" w:firstLine="567"/>
              <w:jc w:val="both"/>
            </w:pPr>
            <w:r w:rsidRPr="00C63D12">
              <w:t>КРАСНОЯРСКОЕ ОТДЕЛЕНИЕ №8646 ПАО СБЕРБАНК</w:t>
            </w:r>
          </w:p>
          <w:p w:rsidR="004170F9" w:rsidRPr="00C63D12" w:rsidRDefault="004170F9" w:rsidP="009876BF">
            <w:pPr>
              <w:widowControl w:val="0"/>
              <w:autoSpaceDE w:val="0"/>
              <w:autoSpaceDN w:val="0"/>
              <w:adjustRightInd w:val="0"/>
              <w:ind w:right="-6" w:firstLine="567"/>
              <w:jc w:val="both"/>
            </w:pPr>
            <w:r w:rsidRPr="00C63D12">
              <w:t>к/с 30101810800000000627</w:t>
            </w:r>
          </w:p>
          <w:p w:rsidR="004170F9" w:rsidRPr="00C63D12" w:rsidRDefault="004170F9" w:rsidP="009876BF">
            <w:pPr>
              <w:widowControl w:val="0"/>
              <w:autoSpaceDE w:val="0"/>
              <w:autoSpaceDN w:val="0"/>
              <w:adjustRightInd w:val="0"/>
              <w:ind w:right="-6" w:firstLine="567"/>
              <w:jc w:val="both"/>
            </w:pPr>
            <w:r w:rsidRPr="00C63D12">
              <w:t>БИК 040407627</w:t>
            </w:r>
          </w:p>
          <w:p w:rsidR="004170F9" w:rsidRPr="00C63D12" w:rsidRDefault="004170F9" w:rsidP="009876BF">
            <w:pPr>
              <w:ind w:firstLine="567"/>
              <w:jc w:val="both"/>
            </w:pPr>
            <w:r w:rsidRPr="00C63D12">
              <w:t xml:space="preserve">назначение платежа: задаток на право заключения </w:t>
            </w:r>
            <w:proofErr w:type="gramStart"/>
            <w:r w:rsidRPr="00C63D12">
              <w:t xml:space="preserve">договора </w:t>
            </w:r>
            <w:r w:rsidRPr="00C63D12">
              <w:rPr>
                <w:bCs/>
              </w:rPr>
              <w:t>предоставления возможности осуществления предпринимательской деятельности</w:t>
            </w:r>
            <w:proofErr w:type="gramEnd"/>
            <w:r w:rsidRPr="00C63D12">
              <w:rPr>
                <w:bCs/>
              </w:rPr>
              <w:t xml:space="preserve"> </w:t>
            </w:r>
            <w:r w:rsidRPr="004E6B98">
              <w:rPr>
                <w:bCs/>
              </w:rPr>
              <w:t xml:space="preserve">по размещению </w:t>
            </w:r>
            <w:proofErr w:type="spellStart"/>
            <w:r w:rsidRPr="004E6B98">
              <w:rPr>
                <w:bCs/>
              </w:rPr>
              <w:t>вендинговых</w:t>
            </w:r>
            <w:proofErr w:type="spellEnd"/>
            <w:r w:rsidRPr="004E6B98">
              <w:rPr>
                <w:bCs/>
              </w:rPr>
              <w:t xml:space="preserve"> автоматов </w:t>
            </w:r>
            <w:r w:rsidRPr="00C63D12">
              <w:rPr>
                <w:bCs/>
              </w:rPr>
              <w:t xml:space="preserve">по адресу: г. Красноярск, ул. </w:t>
            </w:r>
            <w:r>
              <w:rPr>
                <w:bCs/>
              </w:rPr>
              <w:t>Свердловская, 293</w:t>
            </w:r>
            <w:r w:rsidRPr="00C63D12">
              <w:t>.</w:t>
            </w:r>
          </w:p>
          <w:p w:rsidR="004170F9" w:rsidRPr="00274863" w:rsidRDefault="004170F9" w:rsidP="009876BF">
            <w:pPr>
              <w:ind w:firstLine="176"/>
              <w:jc w:val="both"/>
            </w:pPr>
            <w:r w:rsidRPr="00C63D12">
              <w:t xml:space="preserve">Задаток </w:t>
            </w:r>
            <w:r w:rsidRPr="00274863">
              <w:t xml:space="preserve">считается внесенным, если денежные средства поступили на счет организатора до </w:t>
            </w:r>
            <w:r>
              <w:t>окончания срока подачи заявок</w:t>
            </w:r>
            <w:r w:rsidRPr="00274863">
              <w:t xml:space="preserve">. 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274863">
              <w:t>Внесение задатка подтверждается</w:t>
            </w:r>
            <w:r w:rsidRPr="00C63D12">
              <w:t xml:space="preserve"> документами, указанными в п.4.</w:t>
            </w:r>
            <w:r>
              <w:t>2</w:t>
            </w:r>
            <w:r w:rsidRPr="00C63D12">
              <w:t xml:space="preserve">. </w:t>
            </w:r>
            <w:r>
              <w:t xml:space="preserve">раздела 1. </w:t>
            </w:r>
            <w:r w:rsidRPr="00C63D12">
              <w:t xml:space="preserve">Документом, подтверждающим поступление задатка на счет организатора, является выписка со счета организатора </w:t>
            </w:r>
            <w:r>
              <w:t>торгов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Организатор </w:t>
            </w:r>
            <w:r>
              <w:t>торгов</w:t>
            </w:r>
            <w:r w:rsidRPr="00C63D12">
              <w:t xml:space="preserve"> обязуется вернуть задаток претенденту, не допущенному к участию в </w:t>
            </w:r>
            <w:r>
              <w:t>торгах</w:t>
            </w:r>
            <w:r w:rsidRPr="00C63D12">
              <w:t xml:space="preserve">, в течение 5 (пяти) рабочих дней </w:t>
            </w:r>
            <w:proofErr w:type="gramStart"/>
            <w:r w:rsidRPr="00C63D12">
              <w:t>с даты подписания</w:t>
            </w:r>
            <w:proofErr w:type="gramEnd"/>
            <w:r w:rsidRPr="00C63D12">
              <w:t xml:space="preserve"> протокола рассмотрения заявок.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Организатор обязуется вернуть задаток претенденту, подавшему заявку после окончания установленного срока приема заявок на участие в </w:t>
            </w:r>
            <w:r>
              <w:t>торгах</w:t>
            </w:r>
            <w:r w:rsidRPr="00C63D12">
              <w:t xml:space="preserve">, в течение 5 (пяти) рабочих дней </w:t>
            </w:r>
            <w:proofErr w:type="gramStart"/>
            <w:r w:rsidRPr="00C63D12">
              <w:t>с даты подписания</w:t>
            </w:r>
            <w:proofErr w:type="gramEnd"/>
            <w:r w:rsidRPr="00C63D12">
              <w:t xml:space="preserve"> протокола об итогах </w:t>
            </w:r>
            <w:r>
              <w:t>торгов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Организатор обязуется вернуть задаток претенденту, отозвавшему заявку до установленных даты и времени начала рассмотрения заявок на участие в </w:t>
            </w:r>
            <w:r>
              <w:t>торгах</w:t>
            </w:r>
            <w:r w:rsidRPr="00C63D12">
              <w:t xml:space="preserve"> в течение 5 (пяти) рабочих дней </w:t>
            </w:r>
            <w:proofErr w:type="gramStart"/>
            <w:r w:rsidRPr="00C63D12">
              <w:t xml:space="preserve">с даты </w:t>
            </w:r>
            <w:r w:rsidRPr="00C63D12">
              <w:lastRenderedPageBreak/>
              <w:t>поступления</w:t>
            </w:r>
            <w:proofErr w:type="gramEnd"/>
            <w:r w:rsidRPr="00C63D12">
              <w:t xml:space="preserve"> организатору письменного уведомления об отзыве заявки на участие в </w:t>
            </w:r>
            <w:r>
              <w:t>торгах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В случае если организатор в установленный срок отказался от проведения </w:t>
            </w:r>
            <w:r>
              <w:t>торгов</w:t>
            </w:r>
            <w:r w:rsidRPr="00C63D12">
              <w:t xml:space="preserve">, организатор обязуется вернуть претендентам задаток в течение 5 (пяти) рабочих дней </w:t>
            </w:r>
            <w:proofErr w:type="gramStart"/>
            <w:r w:rsidRPr="00C63D12">
              <w:t>с даты принятия</w:t>
            </w:r>
            <w:proofErr w:type="gramEnd"/>
            <w:r w:rsidRPr="00C63D12">
              <w:t xml:space="preserve"> решения об отказе от проведения </w:t>
            </w:r>
            <w:r>
              <w:t>торгов</w:t>
            </w:r>
            <w:r w:rsidRPr="00C63D12">
              <w:t>.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При подписании протокола об итогах </w:t>
            </w:r>
            <w:r>
              <w:t>торгов</w:t>
            </w:r>
            <w:r w:rsidRPr="00C63D12">
              <w:t xml:space="preserve"> задаток победителя </w:t>
            </w:r>
            <w:r>
              <w:t>торгов</w:t>
            </w:r>
            <w:r w:rsidRPr="00C63D12">
              <w:t xml:space="preserve">, внесенный на счет организатора, засчитывается в счет оплаты предмета </w:t>
            </w:r>
            <w:r>
              <w:t>торгов в полном объеме</w:t>
            </w:r>
            <w:r w:rsidRPr="00C63D12">
              <w:t xml:space="preserve">. 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В случае уклонения или отказа победителя </w:t>
            </w:r>
            <w:r>
              <w:t>торгов</w:t>
            </w:r>
            <w:r w:rsidRPr="00C63D12">
              <w:t xml:space="preserve"> от подписания протокола об итогах </w:t>
            </w:r>
            <w:r>
              <w:t>торгов</w:t>
            </w:r>
            <w:r w:rsidRPr="00C63D12">
              <w:t xml:space="preserve"> либо от заключения в установленный срок договора, задаток остается у организатора, а победитель </w:t>
            </w:r>
            <w:r>
              <w:t>торгов</w:t>
            </w:r>
            <w:r w:rsidRPr="00C63D12">
              <w:t xml:space="preserve"> утрачивает право на заключение договора.</w:t>
            </w:r>
          </w:p>
          <w:p w:rsidR="004170F9" w:rsidRPr="00C63D12" w:rsidRDefault="004170F9" w:rsidP="009876BF">
            <w:pPr>
              <w:ind w:firstLine="176"/>
              <w:jc w:val="both"/>
            </w:pPr>
            <w:r w:rsidRPr="00C63D12">
              <w:t xml:space="preserve">В случае уклонения или отказа участника </w:t>
            </w:r>
            <w:r>
              <w:t>торгов</w:t>
            </w:r>
            <w:r w:rsidRPr="00C63D12">
              <w:t xml:space="preserve">, заявке на участие в </w:t>
            </w:r>
            <w:r>
              <w:t>торгах</w:t>
            </w:r>
            <w:r w:rsidRPr="00C63D12">
              <w:t xml:space="preserve">, которого присвоен второй номер, от заключения в установленный срок договора, задаток остается у организатора </w:t>
            </w:r>
            <w:r>
              <w:t>торгов</w:t>
            </w:r>
            <w:r w:rsidRPr="00C63D12">
              <w:t xml:space="preserve">, а участника </w:t>
            </w:r>
            <w:r>
              <w:t>торгов</w:t>
            </w:r>
            <w:r w:rsidRPr="00C63D12">
              <w:t>, заявке на участие которого присвоен второй номер, утрачивает право на заключение договора.</w:t>
            </w:r>
          </w:p>
          <w:p w:rsidR="004170F9" w:rsidRPr="000E7B5E" w:rsidRDefault="004170F9" w:rsidP="009876BF">
            <w:pPr>
              <w:ind w:firstLine="176"/>
              <w:jc w:val="both"/>
            </w:pPr>
            <w:r w:rsidRPr="00C63D12">
              <w:t xml:space="preserve">Участникам, не победившим в </w:t>
            </w:r>
            <w:r>
              <w:t>торгах</w:t>
            </w:r>
            <w:r w:rsidRPr="00C63D12">
              <w:t xml:space="preserve">, задаток возвращается в течение  5 (пяти) рабочих дней с даты, подписания протокола об итогах </w:t>
            </w:r>
            <w:r>
              <w:t>торгов</w:t>
            </w:r>
            <w:r w:rsidRPr="00C63D12">
              <w:t xml:space="preserve">. В случае если победителем </w:t>
            </w:r>
            <w:r>
              <w:t>торгов</w:t>
            </w:r>
            <w:r w:rsidRPr="00C63D12">
              <w:t xml:space="preserve"> признается участник, заявке на участие в </w:t>
            </w:r>
            <w:r>
              <w:t>торгах</w:t>
            </w:r>
            <w:r w:rsidRPr="00C63D12">
              <w:t xml:space="preserve">, которого присвоен второй номер, задаток засчитывается в счет оплаты предмета </w:t>
            </w:r>
            <w:r>
              <w:t>торгов</w:t>
            </w:r>
            <w:r w:rsidRPr="00C63D12">
              <w:t>.</w:t>
            </w:r>
          </w:p>
        </w:tc>
      </w:tr>
      <w:tr w:rsidR="004170F9" w:rsidRPr="00F30E0B" w:rsidTr="009876BF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0"/>
                <w:numId w:val="1"/>
              </w:numPr>
              <w:tabs>
                <w:tab w:val="left" w:pos="1593"/>
              </w:tabs>
              <w:ind w:left="0" w:firstLine="0"/>
              <w:jc w:val="center"/>
            </w:pPr>
          </w:p>
        </w:tc>
        <w:tc>
          <w:tcPr>
            <w:tcW w:w="9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F9" w:rsidRPr="00E03969" w:rsidRDefault="004170F9" w:rsidP="009876BF">
            <w:pPr>
              <w:tabs>
                <w:tab w:val="left" w:pos="1650"/>
              </w:tabs>
              <w:jc w:val="center"/>
              <w:rPr>
                <w:b/>
              </w:rPr>
            </w:pPr>
            <w:r w:rsidRPr="00E03969">
              <w:rPr>
                <w:b/>
              </w:rPr>
              <w:t>Иные условия</w:t>
            </w:r>
          </w:p>
        </w:tc>
      </w:tr>
      <w:tr w:rsidR="004170F9" w:rsidRPr="00F30E0B" w:rsidTr="009876BF">
        <w:trPr>
          <w:trHeight w:val="23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r w:rsidRPr="00F30E0B">
              <w:t>Обеспечение осмотра имущества, права на которое передают по договору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F30E0B">
              <w:t xml:space="preserve">Организатор </w:t>
            </w:r>
            <w:r>
              <w:t>торгов</w:t>
            </w:r>
            <w:r w:rsidRPr="00F30E0B">
              <w:t xml:space="preserve"> без взимания платы проводит осмотр имущества не реже чем через каждые пять рабочих дней с даты размещения извещения о проведении </w:t>
            </w:r>
            <w:r>
              <w:t>торгов</w:t>
            </w:r>
            <w:r w:rsidRPr="00F30E0B">
              <w:t xml:space="preserve"> на официальном сайте, но не </w:t>
            </w:r>
            <w:proofErr w:type="gramStart"/>
            <w:r w:rsidRPr="00F30E0B">
              <w:t>позднее</w:t>
            </w:r>
            <w:proofErr w:type="gramEnd"/>
            <w:r w:rsidRPr="00F30E0B">
              <w:t xml:space="preserve"> чем за два рабочих дня до даты окончания срока подачи заявок.</w:t>
            </w: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 w:rsidRPr="00F30E0B">
              <w:t xml:space="preserve">Время проведения осмотра </w:t>
            </w:r>
            <w:r>
              <w:t>территории</w:t>
            </w:r>
            <w:r w:rsidRPr="00F30E0B">
              <w:t xml:space="preserve">: </w:t>
            </w:r>
          </w:p>
          <w:p w:rsidR="004170F9" w:rsidRPr="00F30E0B" w:rsidRDefault="004170F9" w:rsidP="009876BF">
            <w:pPr>
              <w:pStyle w:val="a3"/>
              <w:spacing w:before="0" w:beforeAutospacing="0" w:after="0" w:afterAutospacing="0"/>
              <w:ind w:firstLine="176"/>
              <w:jc w:val="both"/>
            </w:pPr>
            <w:r>
              <w:t xml:space="preserve">- </w:t>
            </w:r>
            <w:r w:rsidRPr="00F30E0B">
              <w:t>с 15 ч. 00 мин. до 17 ч. 00 мин.</w:t>
            </w:r>
          </w:p>
        </w:tc>
      </w:tr>
      <w:tr w:rsidR="004170F9" w:rsidRPr="00F30E0B" w:rsidTr="009876BF">
        <w:trPr>
          <w:trHeight w:val="113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4170F9">
            <w:pPr>
              <w:numPr>
                <w:ilvl w:val="1"/>
                <w:numId w:val="1"/>
              </w:numPr>
              <w:tabs>
                <w:tab w:val="left" w:pos="1593"/>
              </w:tabs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/>
        </w:tc>
        <w:tc>
          <w:tcPr>
            <w:tcW w:w="7431" w:type="dxa"/>
            <w:tcBorders>
              <w:bottom w:val="single" w:sz="4" w:space="0" w:color="auto"/>
            </w:tcBorders>
            <w:shd w:val="clear" w:color="auto" w:fill="auto"/>
          </w:tcPr>
          <w:p w:rsidR="004170F9" w:rsidRPr="00F30E0B" w:rsidRDefault="004170F9" w:rsidP="009876BF">
            <w:pPr>
              <w:tabs>
                <w:tab w:val="left" w:pos="1560"/>
              </w:tabs>
              <w:suppressAutoHyphens/>
              <w:jc w:val="both"/>
            </w:pPr>
            <w:r w:rsidRPr="00F30E0B">
              <w:rPr>
                <w:lang w:eastAsia="en-US"/>
              </w:rPr>
              <w:t>Заказчик предупреждает участников об административной и уголовной ответственности за нарушение требований антимонопольного законодательства о запрете на антиконкурентные действия и соглашения.</w:t>
            </w:r>
          </w:p>
        </w:tc>
      </w:tr>
    </w:tbl>
    <w:p w:rsidR="002910EB" w:rsidRDefault="008678A3"/>
    <w:sectPr w:rsidR="0029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394D"/>
    <w:multiLevelType w:val="multilevel"/>
    <w:tmpl w:val="8D42A6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5A"/>
    <w:rsid w:val="004170F9"/>
    <w:rsid w:val="00595369"/>
    <w:rsid w:val="008074EB"/>
    <w:rsid w:val="008678A3"/>
    <w:rsid w:val="009608C8"/>
    <w:rsid w:val="00E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70F9"/>
    <w:pPr>
      <w:spacing w:before="100" w:beforeAutospacing="1" w:after="100" w:afterAutospacing="1"/>
    </w:pPr>
  </w:style>
  <w:style w:type="character" w:styleId="a4">
    <w:name w:val="Hyperlink"/>
    <w:uiPriority w:val="99"/>
    <w:rsid w:val="004170F9"/>
    <w:rPr>
      <w:color w:val="0000FF"/>
      <w:u w:val="single"/>
    </w:rPr>
  </w:style>
  <w:style w:type="paragraph" w:customStyle="1" w:styleId="ConsNonformat">
    <w:name w:val="ConsNonformat"/>
    <w:rsid w:val="004170F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678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8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70F9"/>
    <w:pPr>
      <w:spacing w:before="100" w:beforeAutospacing="1" w:after="100" w:afterAutospacing="1"/>
    </w:pPr>
  </w:style>
  <w:style w:type="character" w:styleId="a4">
    <w:name w:val="Hyperlink"/>
    <w:uiPriority w:val="99"/>
    <w:rsid w:val="004170F9"/>
    <w:rPr>
      <w:color w:val="0000FF"/>
      <w:u w:val="single"/>
    </w:rPr>
  </w:style>
  <w:style w:type="paragraph" w:customStyle="1" w:styleId="ConsNonformat">
    <w:name w:val="ConsNonformat"/>
    <w:rsid w:val="004170F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678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8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a@roe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ev@mailk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0540&amp;dst=100118&amp;field=134&amp;date=19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Баранова</dc:creator>
  <cp:lastModifiedBy>Татьяна Ю. Бехтерева</cp:lastModifiedBy>
  <cp:revision>2</cp:revision>
  <dcterms:created xsi:type="dcterms:W3CDTF">2026-06-04T02:41:00Z</dcterms:created>
  <dcterms:modified xsi:type="dcterms:W3CDTF">2026-06-04T02:41:00Z</dcterms:modified>
</cp:coreProperties>
</file>